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ACA7E" w14:textId="22AB7EF4" w:rsidR="0A1BF5A4" w:rsidRDefault="0084760F" w:rsidP="0A1BF5A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rPr>
      </w:pPr>
      <w:r w:rsidRPr="4FBB5BB8">
        <w:rPr>
          <w:b/>
          <w:bCs/>
        </w:rPr>
        <w:t xml:space="preserve">Idaho State </w:t>
      </w:r>
      <w:r w:rsidR="76220EE4" w:rsidRPr="4FBB5BB8">
        <w:rPr>
          <w:b/>
          <w:bCs/>
        </w:rPr>
        <w:t>Department</w:t>
      </w:r>
      <w:r w:rsidRPr="4FBB5BB8">
        <w:rPr>
          <w:b/>
          <w:bCs/>
        </w:rPr>
        <w:t xml:space="preserve"> of Education</w:t>
      </w:r>
    </w:p>
    <w:p w14:paraId="099A3C11" w14:textId="77777777" w:rsidR="006566EF" w:rsidRDefault="67ED6602" w:rsidP="67ED660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rPr>
      </w:pPr>
      <w:r w:rsidRPr="67ED6602">
        <w:rPr>
          <w:b/>
          <w:bCs/>
        </w:rPr>
        <w:t>and</w:t>
      </w:r>
    </w:p>
    <w:p w14:paraId="7CFF2101" w14:textId="54CAD2BF" w:rsidR="006566EF" w:rsidRDefault="67ED6602" w:rsidP="67ED660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rPr>
      </w:pPr>
      <w:r w:rsidRPr="67ED6602">
        <w:rPr>
          <w:b/>
          <w:bCs/>
        </w:rPr>
        <w:t>The Council for the Accreditation of Educator Preparation (CAEP)</w:t>
      </w:r>
    </w:p>
    <w:p w14:paraId="752F7246" w14:textId="7B5F6B49" w:rsidR="009E6E0A" w:rsidRDefault="67ED6602" w:rsidP="67ED660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rPr>
      </w:pPr>
      <w:r w:rsidRPr="67ED6602">
        <w:rPr>
          <w:b/>
          <w:bCs/>
        </w:rPr>
        <w:t>Partnership Agreement</w:t>
      </w:r>
    </w:p>
    <w:p w14:paraId="7EABE0E8" w14:textId="77777777" w:rsidR="006566EF" w:rsidRDefault="006566E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rPr>
      </w:pPr>
    </w:p>
    <w:p w14:paraId="478383E2" w14:textId="77777777" w:rsidR="002511C2" w:rsidRPr="001A4DC3" w:rsidRDefault="002511C2" w:rsidP="001A4DC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22E01786" w14:textId="3BC432B5" w:rsidR="006566EF" w:rsidRPr="00F92E9A" w:rsidRDefault="67ED6602" w:rsidP="67ED660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r w:rsidRPr="67ED6602">
        <w:rPr>
          <w:rFonts w:cs="Times New Roman"/>
        </w:rPr>
        <w:t xml:space="preserve">Whereas, CAEP is a nongovernmental, voluntary </w:t>
      </w:r>
      <w:r w:rsidR="00D17597">
        <w:rPr>
          <w:rFonts w:cs="Times New Roman"/>
        </w:rPr>
        <w:t>membership organization</w:t>
      </w:r>
      <w:r w:rsidR="00D17597" w:rsidRPr="67ED6602">
        <w:rPr>
          <w:rFonts w:cs="Times New Roman"/>
        </w:rPr>
        <w:t xml:space="preserve"> </w:t>
      </w:r>
      <w:r w:rsidRPr="67ED6602">
        <w:rPr>
          <w:rFonts w:cs="Times New Roman"/>
        </w:rPr>
        <w:t>committed to the effective preparation of teachers and other P-12 professional educators; and</w:t>
      </w:r>
    </w:p>
    <w:p w14:paraId="09F3313F" w14:textId="77777777" w:rsidR="006566EF" w:rsidRPr="00F92E9A" w:rsidRDefault="006566EF" w:rsidP="001A4DC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p>
    <w:p w14:paraId="51B4EEE4" w14:textId="0A225CE7" w:rsidR="006566EF" w:rsidRPr="00F92E9A" w:rsidRDefault="67ED6602" w:rsidP="67ED660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r w:rsidRPr="683210B7">
        <w:rPr>
          <w:rFonts w:cs="Times New Roman"/>
        </w:rPr>
        <w:t>Whereas, CAEP, through an autonomous Accreditation Council, accredits educator preparation providers (EPP’s) and advances excellent educator preparation through evidence-based accreditation that assures quality and supports continuous improvement to strengthen P-12 student learning; and</w:t>
      </w:r>
    </w:p>
    <w:p w14:paraId="253D72BA" w14:textId="77777777" w:rsidR="006566EF" w:rsidRPr="00F92E9A" w:rsidRDefault="006566EF" w:rsidP="001A4DC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p>
    <w:p w14:paraId="41671180" w14:textId="50CEAEA2" w:rsidR="006566EF" w:rsidRPr="00F92E9A" w:rsidRDefault="67ED6602" w:rsidP="67ED660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r w:rsidRPr="67ED6602">
        <w:rPr>
          <w:rFonts w:cs="Times New Roman"/>
        </w:rPr>
        <w:t xml:space="preserve">Whereas, CAEP is a nationally recognized accreditor, having earned recognition by the Council for Higher Education Accreditation (CHEA), </w:t>
      </w:r>
      <w:r w:rsidRPr="00B111D0">
        <w:rPr>
          <w:rFonts w:cs="Times New Roman"/>
        </w:rPr>
        <w:t xml:space="preserve">and </w:t>
      </w:r>
      <w:r w:rsidR="00AE5330" w:rsidRPr="00B111D0">
        <w:rPr>
          <w:rFonts w:cs="Times New Roman"/>
        </w:rPr>
        <w:t>is seeking</w:t>
      </w:r>
      <w:r w:rsidRPr="00B111D0">
        <w:rPr>
          <w:rFonts w:cs="Times New Roman"/>
        </w:rPr>
        <w:t xml:space="preserve"> recognition</w:t>
      </w:r>
      <w:r w:rsidRPr="67ED6602">
        <w:rPr>
          <w:rFonts w:cs="Times New Roman"/>
        </w:rPr>
        <w:t xml:space="preserve"> by the United States Secretary of Education, and, therefore, develops policy and procedures aligned with all applicable requirements of CHEA and</w:t>
      </w:r>
      <w:r w:rsidR="00F259C0">
        <w:rPr>
          <w:rFonts w:cs="Times New Roman"/>
        </w:rPr>
        <w:t>,</w:t>
      </w:r>
      <w:r w:rsidRPr="67ED6602">
        <w:rPr>
          <w:rFonts w:cs="Times New Roman"/>
        </w:rPr>
        <w:t xml:space="preserve"> </w:t>
      </w:r>
      <w:r w:rsidR="00F259C0">
        <w:rPr>
          <w:rFonts w:cs="Times New Roman"/>
        </w:rPr>
        <w:t xml:space="preserve">to the extent practicable, </w:t>
      </w:r>
      <w:r w:rsidRPr="67ED6602">
        <w:rPr>
          <w:rFonts w:cs="Times New Roman"/>
        </w:rPr>
        <w:t>the U.S. Department of Education</w:t>
      </w:r>
      <w:r w:rsidR="00D17597">
        <w:rPr>
          <w:rFonts w:cs="Times New Roman"/>
        </w:rPr>
        <w:t>;</w:t>
      </w:r>
      <w:r w:rsidR="00157A9D">
        <w:rPr>
          <w:rFonts w:cs="Times New Roman"/>
        </w:rPr>
        <w:t xml:space="preserve"> </w:t>
      </w:r>
      <w:r w:rsidRPr="67ED6602">
        <w:rPr>
          <w:rFonts w:cs="Times New Roman"/>
        </w:rPr>
        <w:t>and</w:t>
      </w:r>
    </w:p>
    <w:p w14:paraId="2A1743BA" w14:textId="77777777" w:rsidR="0091708E" w:rsidRPr="00F92E9A" w:rsidRDefault="0091708E" w:rsidP="001A4DC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p>
    <w:p w14:paraId="598E0372" w14:textId="3B2C4182" w:rsidR="0091708E" w:rsidRPr="00F92E9A" w:rsidRDefault="67ED6602" w:rsidP="67ED660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r w:rsidRPr="6BF9A8AD">
        <w:rPr>
          <w:rFonts w:cs="Times New Roman"/>
        </w:rPr>
        <w:t>Whereas,</w:t>
      </w:r>
      <w:r w:rsidR="008B0914" w:rsidRPr="6BF9A8AD">
        <w:rPr>
          <w:rFonts w:cs="Times New Roman"/>
        </w:rPr>
        <w:t xml:space="preserve"> </w:t>
      </w:r>
      <w:r w:rsidR="000D07E7">
        <w:rPr>
          <w:rFonts w:cs="Times New Roman"/>
        </w:rPr>
        <w:t xml:space="preserve">the </w:t>
      </w:r>
      <w:r w:rsidR="0084760F">
        <w:rPr>
          <w:rFonts w:cs="Times New Roman"/>
        </w:rPr>
        <w:t xml:space="preserve">Idaho State </w:t>
      </w:r>
      <w:r w:rsidR="000F4663">
        <w:rPr>
          <w:rFonts w:cs="Times New Roman"/>
        </w:rPr>
        <w:t xml:space="preserve">Department </w:t>
      </w:r>
      <w:r w:rsidR="0084760F">
        <w:rPr>
          <w:rFonts w:cs="Times New Roman"/>
        </w:rPr>
        <w:t>of Education</w:t>
      </w:r>
      <w:r w:rsidR="000D07E7">
        <w:rPr>
          <w:rFonts w:cs="Times New Roman"/>
        </w:rPr>
        <w:t xml:space="preserve"> (</w:t>
      </w:r>
      <w:r w:rsidR="000F4663">
        <w:rPr>
          <w:rFonts w:cs="Times New Roman"/>
        </w:rPr>
        <w:t>SDE</w:t>
      </w:r>
      <w:r w:rsidR="00887B51">
        <w:rPr>
          <w:rFonts w:cs="Times New Roman"/>
        </w:rPr>
        <w:t xml:space="preserve"> or the State</w:t>
      </w:r>
      <w:r w:rsidR="000D07E7">
        <w:rPr>
          <w:rFonts w:cs="Times New Roman"/>
        </w:rPr>
        <w:t>)</w:t>
      </w:r>
      <w:r w:rsidR="00D17597">
        <w:rPr>
          <w:rFonts w:cs="Times New Roman"/>
        </w:rPr>
        <w:t xml:space="preserve"> </w:t>
      </w:r>
      <w:r w:rsidR="008B0914" w:rsidRPr="6BF9A8AD">
        <w:rPr>
          <w:rFonts w:cs="Times New Roman"/>
        </w:rPr>
        <w:t>support</w:t>
      </w:r>
      <w:r w:rsidR="00D17597">
        <w:rPr>
          <w:rFonts w:cs="Times New Roman"/>
        </w:rPr>
        <w:t>s</w:t>
      </w:r>
      <w:r w:rsidR="008B0914" w:rsidRPr="6BF9A8AD">
        <w:rPr>
          <w:rFonts w:cs="Times New Roman"/>
        </w:rPr>
        <w:t xml:space="preserve"> continuous improvement in educator preparation.</w:t>
      </w:r>
    </w:p>
    <w:p w14:paraId="38271431" w14:textId="77777777" w:rsidR="006566EF" w:rsidRPr="00F92E9A" w:rsidRDefault="006566EF" w:rsidP="001A4DC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p>
    <w:p w14:paraId="4E3E653B" w14:textId="48D2DF1F" w:rsidR="0091708E" w:rsidRPr="00F92E9A" w:rsidRDefault="67ED6602" w:rsidP="67ED660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r w:rsidRPr="683210B7">
        <w:rPr>
          <w:rFonts w:cs="Times New Roman"/>
        </w:rPr>
        <w:t>CA</w:t>
      </w:r>
      <w:r w:rsidR="00F259C0" w:rsidRPr="683210B7">
        <w:rPr>
          <w:rFonts w:cs="Times New Roman"/>
        </w:rPr>
        <w:t xml:space="preserve">EP and </w:t>
      </w:r>
      <w:r w:rsidR="6F787A13" w:rsidRPr="683210B7">
        <w:rPr>
          <w:rFonts w:cs="Times New Roman"/>
        </w:rPr>
        <w:t>the State</w:t>
      </w:r>
      <w:r w:rsidRPr="683210B7">
        <w:rPr>
          <w:rFonts w:cs="Times New Roman"/>
        </w:rPr>
        <w:t xml:space="preserve"> hereby enter into this agreement detailing the State’s </w:t>
      </w:r>
      <w:r w:rsidR="00960479">
        <w:rPr>
          <w:rFonts w:cs="Times New Roman"/>
        </w:rPr>
        <w:t>requirements</w:t>
      </w:r>
      <w:r w:rsidR="00960479" w:rsidRPr="683210B7">
        <w:rPr>
          <w:rFonts w:cs="Times New Roman"/>
        </w:rPr>
        <w:t xml:space="preserve"> </w:t>
      </w:r>
      <w:r w:rsidRPr="683210B7">
        <w:rPr>
          <w:rFonts w:cs="Times New Roman"/>
        </w:rPr>
        <w:t xml:space="preserve">with regard to program review options and review team composition for accreditation </w:t>
      </w:r>
      <w:r w:rsidR="00D344BD" w:rsidRPr="683210B7">
        <w:rPr>
          <w:rFonts w:cs="Times New Roman"/>
        </w:rPr>
        <w:t>S</w:t>
      </w:r>
      <w:r w:rsidRPr="683210B7">
        <w:rPr>
          <w:rFonts w:cs="Times New Roman"/>
        </w:rPr>
        <w:t xml:space="preserve">ite </w:t>
      </w:r>
      <w:r w:rsidR="00D344BD" w:rsidRPr="683210B7">
        <w:rPr>
          <w:rFonts w:cs="Times New Roman"/>
        </w:rPr>
        <w:t>R</w:t>
      </w:r>
      <w:r w:rsidR="00036574" w:rsidRPr="683210B7">
        <w:rPr>
          <w:rFonts w:cs="Times New Roman"/>
        </w:rPr>
        <w:t>eview</w:t>
      </w:r>
      <w:r w:rsidR="00D344BD" w:rsidRPr="683210B7">
        <w:rPr>
          <w:rFonts w:cs="Times New Roman"/>
        </w:rPr>
        <w:t>s</w:t>
      </w:r>
      <w:r w:rsidR="00083A6A">
        <w:rPr>
          <w:rFonts w:cs="Times New Roman"/>
        </w:rPr>
        <w:t xml:space="preserve">. </w:t>
      </w:r>
      <w:r w:rsidR="00CA789D">
        <w:rPr>
          <w:rFonts w:cs="Times New Roman"/>
        </w:rPr>
        <w:t xml:space="preserve">Site </w:t>
      </w:r>
      <w:r w:rsidR="00480407">
        <w:rPr>
          <w:rFonts w:cs="Times New Roman"/>
        </w:rPr>
        <w:t>R</w:t>
      </w:r>
      <w:r w:rsidR="00CA789D">
        <w:rPr>
          <w:rFonts w:cs="Times New Roman"/>
        </w:rPr>
        <w:t>eviews are</w:t>
      </w:r>
      <w:r w:rsidRPr="683210B7">
        <w:rPr>
          <w:rFonts w:cs="Times New Roman"/>
        </w:rPr>
        <w:t xml:space="preserve"> conducted by CAEP of </w:t>
      </w:r>
      <w:r w:rsidR="00CA789D">
        <w:rPr>
          <w:rFonts w:cs="Times New Roman"/>
        </w:rPr>
        <w:t>educator preparation provider’s</w:t>
      </w:r>
      <w:r w:rsidRPr="683210B7">
        <w:rPr>
          <w:rFonts w:cs="Times New Roman"/>
        </w:rPr>
        <w:t xml:space="preserve"> operating within the </w:t>
      </w:r>
      <w:r w:rsidR="64D83771" w:rsidRPr="683210B7">
        <w:rPr>
          <w:rFonts w:cs="Times New Roman"/>
        </w:rPr>
        <w:t>State and</w:t>
      </w:r>
      <w:r w:rsidR="000F12D3">
        <w:rPr>
          <w:rFonts w:cs="Times New Roman"/>
        </w:rPr>
        <w:t xml:space="preserve"> this agreement</w:t>
      </w:r>
      <w:r w:rsidRPr="683210B7">
        <w:rPr>
          <w:rFonts w:cs="Times New Roman"/>
        </w:rPr>
        <w:t xml:space="preserve"> establish</w:t>
      </w:r>
      <w:r w:rsidR="000F12D3">
        <w:rPr>
          <w:rFonts w:cs="Times New Roman"/>
        </w:rPr>
        <w:t>es</w:t>
      </w:r>
      <w:r w:rsidRPr="683210B7">
        <w:rPr>
          <w:rFonts w:cs="Times New Roman"/>
        </w:rPr>
        <w:t xml:space="preserve"> the primary responsibilities each party has in supporting CAEP</w:t>
      </w:r>
      <w:r w:rsidR="00D344BD" w:rsidRPr="683210B7">
        <w:rPr>
          <w:rFonts w:cs="Times New Roman"/>
        </w:rPr>
        <w:t>’s a</w:t>
      </w:r>
      <w:r w:rsidRPr="683210B7">
        <w:rPr>
          <w:rFonts w:cs="Times New Roman"/>
        </w:rPr>
        <w:t xml:space="preserve">ccreditation activities involving all such </w:t>
      </w:r>
      <w:r w:rsidR="000F12D3">
        <w:rPr>
          <w:rFonts w:cs="Times New Roman"/>
        </w:rPr>
        <w:t>providers</w:t>
      </w:r>
      <w:r w:rsidRPr="683210B7">
        <w:rPr>
          <w:rFonts w:cs="Times New Roman"/>
        </w:rPr>
        <w:t>.</w:t>
      </w:r>
    </w:p>
    <w:p w14:paraId="16F04F72" w14:textId="77777777" w:rsidR="006566EF" w:rsidRPr="00F92E9A" w:rsidRDefault="006566EF" w:rsidP="001A4DC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p>
    <w:p w14:paraId="1C2475F9" w14:textId="7BB39507" w:rsidR="006566EF" w:rsidRPr="00F92E9A" w:rsidRDefault="67ED6602" w:rsidP="001F68C6">
      <w:pPr>
        <w:pStyle w:val="Body"/>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b/>
          <w:bCs/>
        </w:rPr>
      </w:pPr>
      <w:r w:rsidRPr="67ED6602">
        <w:rPr>
          <w:rFonts w:cs="Times New Roman"/>
          <w:b/>
          <w:bCs/>
        </w:rPr>
        <w:t>CAEP Standards and Scope of Accreditation</w:t>
      </w:r>
    </w:p>
    <w:p w14:paraId="3DCE95B8" w14:textId="16C8BC25" w:rsidR="006566EF" w:rsidRPr="00F92E9A" w:rsidRDefault="006566EF" w:rsidP="001A4DC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hanging="450"/>
        <w:rPr>
          <w:rFonts w:cs="Times New Roman"/>
          <w:bCs/>
        </w:rPr>
      </w:pPr>
    </w:p>
    <w:p w14:paraId="31A438EE" w14:textId="77777777" w:rsidR="000C2E71" w:rsidRDefault="67ED6602" w:rsidP="000C2E71">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rPr>
      </w:pPr>
      <w:r w:rsidRPr="67ED6602">
        <w:rPr>
          <w:rFonts w:cs="Times New Roman"/>
        </w:rPr>
        <w:t>The Parties understand and agree that:</w:t>
      </w:r>
    </w:p>
    <w:p w14:paraId="2E1CAD35" w14:textId="77777777" w:rsidR="000C2E71" w:rsidRDefault="000C2E71" w:rsidP="000C2E71">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rPr>
      </w:pPr>
    </w:p>
    <w:p w14:paraId="143D7A87" w14:textId="0714D050" w:rsidR="000D07E7" w:rsidRPr="000C2E71" w:rsidRDefault="67ED6602" w:rsidP="000C2E71">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rPr>
      </w:pPr>
      <w:r w:rsidRPr="00027AA6">
        <w:t>The CAEP Board of Directors (CAEP Board) has adopted standards (CAEP Standards or Standards) that serve as the basis for all accreditation reviews undertaken by CAEP.</w:t>
      </w:r>
    </w:p>
    <w:p w14:paraId="4D31E6D4" w14:textId="42C17F4D" w:rsidR="00F969A1" w:rsidRDefault="67ED6602" w:rsidP="00F969A1">
      <w:pPr>
        <w:pStyle w:val="ListParagraph"/>
        <w:ind w:left="360"/>
        <w:rPr>
          <w:rFonts w:cs="Times New Roman"/>
          <w:bCs/>
        </w:rPr>
      </w:pPr>
      <w:r w:rsidRPr="67ED6602">
        <w:rPr>
          <w:rFonts w:cs="Times New Roman"/>
        </w:rPr>
        <w:t xml:space="preserve"> </w:t>
      </w:r>
    </w:p>
    <w:p w14:paraId="3E0B4CA0" w14:textId="0E59BA95" w:rsidR="006C5A92" w:rsidRDefault="230EC9E1" w:rsidP="001F68C6">
      <w:pPr>
        <w:pStyle w:val="NormalWeb"/>
        <w:numPr>
          <w:ilvl w:val="1"/>
          <w:numId w:val="11"/>
        </w:numPr>
        <w:shd w:val="clear" w:color="auto" w:fill="FFFFFF" w:themeFill="background1"/>
        <w:spacing w:before="0" w:after="0"/>
        <w:ind w:left="432"/>
      </w:pPr>
      <w:r>
        <w:t xml:space="preserve">As a result of the ongoing critical self-review that CAEP undertakes to maintain and improve the quality of CAEP </w:t>
      </w:r>
      <w:r w:rsidR="00D344BD">
        <w:t>a</w:t>
      </w:r>
      <w:r>
        <w:t xml:space="preserve">ccreditation, the CAEP Board will undertake a comprehensive review and revision of the CAEP Standards on a schedule set by the </w:t>
      </w:r>
      <w:r w:rsidR="0043140A">
        <w:t xml:space="preserve">CAEP </w:t>
      </w:r>
      <w:r>
        <w:t>Board and may, as needed, make interim amendments to the Standards. In making any such changes, CAEP will seek stakeholder and public input, including input from the State and its EPP’s.</w:t>
      </w:r>
      <w:r w:rsidR="00AE5330">
        <w:t xml:space="preserve"> </w:t>
      </w:r>
    </w:p>
    <w:p w14:paraId="4B4FA3B9" w14:textId="77777777" w:rsidR="0056279C" w:rsidRDefault="0056279C" w:rsidP="0056279C">
      <w:pPr>
        <w:pStyle w:val="NormalWeb"/>
        <w:shd w:val="clear" w:color="auto" w:fill="FFFFFF" w:themeFill="background1"/>
        <w:spacing w:before="0" w:after="0"/>
        <w:ind w:left="432"/>
      </w:pPr>
    </w:p>
    <w:p w14:paraId="3068F928" w14:textId="45E8796F" w:rsidR="00EE2CD6" w:rsidRPr="00357AE4" w:rsidRDefault="230EC9E1" w:rsidP="001F68C6">
      <w:pPr>
        <w:pStyle w:val="NormalWeb"/>
        <w:numPr>
          <w:ilvl w:val="1"/>
          <w:numId w:val="11"/>
        </w:numPr>
        <w:shd w:val="clear" w:color="auto" w:fill="FFFFFF" w:themeFill="background1"/>
        <w:spacing w:before="0" w:after="0"/>
        <w:ind w:left="432"/>
      </w:pPr>
      <w:r>
        <w:t xml:space="preserve">It is the responsibility of the State and any EPP’s seeking or continuing CAEP </w:t>
      </w:r>
      <w:r w:rsidR="00D344BD">
        <w:t>a</w:t>
      </w:r>
      <w:r>
        <w:t xml:space="preserve">ccreditation to stay informed of any changes made to the </w:t>
      </w:r>
      <w:hyperlink r:id="rId11" w:history="1">
        <w:r w:rsidRPr="003326C3">
          <w:rPr>
            <w:rStyle w:val="Hyperlink"/>
          </w:rPr>
          <w:t>CAEP Standards</w:t>
        </w:r>
      </w:hyperlink>
      <w:r w:rsidRPr="683210B7">
        <w:rPr>
          <w:color w:val="000000" w:themeColor="text1"/>
        </w:rPr>
        <w:t xml:space="preserve"> and the timeline(s) set by the</w:t>
      </w:r>
      <w:r w:rsidR="0043140A">
        <w:rPr>
          <w:color w:val="000000" w:themeColor="text1"/>
        </w:rPr>
        <w:t xml:space="preserve"> CAEP</w:t>
      </w:r>
      <w:r w:rsidRPr="683210B7">
        <w:rPr>
          <w:color w:val="000000" w:themeColor="text1"/>
        </w:rPr>
        <w:t xml:space="preserve"> Board for the implementation of or transition to new or revised Standards.</w:t>
      </w:r>
      <w:r w:rsidR="00405E41">
        <w:rPr>
          <w:color w:val="000000" w:themeColor="text1"/>
        </w:rPr>
        <w:t xml:space="preserve"> Any changes to policies or standards are outlined in </w:t>
      </w:r>
      <w:bookmarkStart w:id="0" w:name="_Hlk135990329"/>
      <w:r w:rsidR="00405E41">
        <w:rPr>
          <w:color w:val="000000" w:themeColor="text1"/>
        </w:rPr>
        <w:t>the CAEP newsletter</w:t>
      </w:r>
      <w:r w:rsidR="00E05CBC">
        <w:rPr>
          <w:color w:val="000000" w:themeColor="text1"/>
        </w:rPr>
        <w:t xml:space="preserve">, during cohort meetings, state </w:t>
      </w:r>
      <w:r w:rsidR="00220098">
        <w:rPr>
          <w:color w:val="000000" w:themeColor="text1"/>
        </w:rPr>
        <w:t>partner webinars and clinics and</w:t>
      </w:r>
      <w:r w:rsidR="00E05CBC">
        <w:rPr>
          <w:color w:val="000000" w:themeColor="text1"/>
        </w:rPr>
        <w:t xml:space="preserve"> at CAEP conferences</w:t>
      </w:r>
      <w:r w:rsidR="00220098">
        <w:rPr>
          <w:color w:val="000000" w:themeColor="text1"/>
        </w:rPr>
        <w:t>.</w:t>
      </w:r>
      <w:bookmarkEnd w:id="0"/>
      <w:r w:rsidR="004506BF">
        <w:rPr>
          <w:color w:val="000000" w:themeColor="text1"/>
        </w:rPr>
        <w:t xml:space="preserve"> </w:t>
      </w:r>
      <w:r w:rsidR="008D79A1">
        <w:rPr>
          <w:color w:val="000000" w:themeColor="text1"/>
        </w:rPr>
        <w:t xml:space="preserve">Policies applicable to EPPs are found in </w:t>
      </w:r>
      <w:hyperlink r:id="rId12" w:history="1">
        <w:r w:rsidR="008D79A1" w:rsidRPr="00D43092">
          <w:rPr>
            <w:rStyle w:val="Hyperlink"/>
          </w:rPr>
          <w:t xml:space="preserve">Accreditation Policy and </w:t>
        </w:r>
        <w:r w:rsidR="008D79A1" w:rsidRPr="00D43092">
          <w:rPr>
            <w:rStyle w:val="Hyperlink"/>
          </w:rPr>
          <w:lastRenderedPageBreak/>
          <w:t>Procedures</w:t>
        </w:r>
      </w:hyperlink>
      <w:r w:rsidR="008D79A1">
        <w:rPr>
          <w:color w:val="000000" w:themeColor="text1"/>
        </w:rPr>
        <w:t xml:space="preserve"> and </w:t>
      </w:r>
      <w:hyperlink r:id="rId13" w:history="1">
        <w:r w:rsidR="008D79A1" w:rsidRPr="00D43092">
          <w:rPr>
            <w:rStyle w:val="Hyperlink"/>
          </w:rPr>
          <w:t>Appeals Policy</w:t>
        </w:r>
      </w:hyperlink>
      <w:r w:rsidR="008D79A1">
        <w:rPr>
          <w:color w:val="000000" w:themeColor="text1"/>
        </w:rPr>
        <w:t>.</w:t>
      </w:r>
      <w:r w:rsidR="0034437D">
        <w:rPr>
          <w:color w:val="000000" w:themeColor="text1"/>
        </w:rPr>
        <w:t xml:space="preserve"> Current policies and the CAEP Standards are published on the </w:t>
      </w:r>
      <w:hyperlink r:id="rId14" w:history="1">
        <w:r w:rsidR="0034437D" w:rsidRPr="00D43092">
          <w:rPr>
            <w:rStyle w:val="Hyperlink"/>
          </w:rPr>
          <w:t>CAEP website</w:t>
        </w:r>
      </w:hyperlink>
      <w:r w:rsidR="0034437D">
        <w:rPr>
          <w:color w:val="000000" w:themeColor="text1"/>
        </w:rPr>
        <w:t>.</w:t>
      </w:r>
    </w:p>
    <w:p w14:paraId="22C24AA1" w14:textId="77777777" w:rsidR="00357AE4" w:rsidRPr="00F92E9A" w:rsidRDefault="00357AE4" w:rsidP="00357AE4">
      <w:pPr>
        <w:pStyle w:val="NormalWeb"/>
        <w:shd w:val="clear" w:color="auto" w:fill="FFFFFF"/>
        <w:spacing w:before="0" w:after="0"/>
        <w:ind w:left="432"/>
      </w:pPr>
    </w:p>
    <w:p w14:paraId="506A20C0" w14:textId="731E4F1D" w:rsidR="00C92B85" w:rsidRDefault="67ED6602" w:rsidP="001F68C6">
      <w:pPr>
        <w:pStyle w:val="Body"/>
        <w:widowControl w:val="0"/>
        <w:numPr>
          <w:ilvl w:val="1"/>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2"/>
        <w:rPr>
          <w:rFonts w:cs="Times New Roman"/>
        </w:rPr>
      </w:pPr>
      <w:r w:rsidRPr="00CB174D">
        <w:rPr>
          <w:rFonts w:cs="Times New Roman"/>
        </w:rPr>
        <w:t>The CAEP scope of accreditation, defined in</w:t>
      </w:r>
      <w:r w:rsidR="009E6FDA">
        <w:rPr>
          <w:rFonts w:cs="Times New Roman"/>
        </w:rPr>
        <w:t xml:space="preserve"> Accreditation</w:t>
      </w:r>
      <w:r w:rsidRPr="00CB174D">
        <w:rPr>
          <w:rFonts w:cs="Times New Roman"/>
        </w:rPr>
        <w:t xml:space="preserve"> </w:t>
      </w:r>
      <w:hyperlink r:id="rId15" w:history="1">
        <w:r w:rsidR="009E6FDA">
          <w:rPr>
            <w:rStyle w:val="Hyperlink"/>
            <w:rFonts w:cs="Times New Roman"/>
          </w:rPr>
          <w:t>Policy</w:t>
        </w:r>
      </w:hyperlink>
      <w:r w:rsidR="009E6FDA">
        <w:rPr>
          <w:rFonts w:cs="Times New Roman"/>
        </w:rPr>
        <w:t xml:space="preserve"> and Procedures</w:t>
      </w:r>
      <w:r w:rsidRPr="00CB174D">
        <w:rPr>
          <w:rFonts w:cs="Times New Roman"/>
        </w:rPr>
        <w:t>,</w:t>
      </w:r>
      <w:r w:rsidR="00CB174D" w:rsidRPr="00CB174D">
        <w:rPr>
          <w:rFonts w:cs="Times New Roman"/>
        </w:rPr>
        <w:t xml:space="preserve"> distinguishes between two levels of educator preparation: </w:t>
      </w:r>
      <w:r w:rsidRPr="00CB174D">
        <w:rPr>
          <w:rFonts w:cs="Times New Roman"/>
        </w:rPr>
        <w:t xml:space="preserve"> </w:t>
      </w:r>
    </w:p>
    <w:p w14:paraId="2F17B28F" w14:textId="77777777" w:rsidR="00CB174D" w:rsidRPr="00CB174D" w:rsidRDefault="00CB174D" w:rsidP="00CB174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p>
    <w:p w14:paraId="0583F2D5" w14:textId="5EF6B0BB" w:rsidR="00B5364B" w:rsidRPr="00616E8E" w:rsidRDefault="00960479" w:rsidP="00C546B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cs="Times New Roman"/>
        </w:rPr>
      </w:pPr>
      <w:r>
        <w:rPr>
          <w:rFonts w:cs="Times New Roman"/>
        </w:rPr>
        <w:t>1.3.1</w:t>
      </w:r>
      <w:r>
        <w:rPr>
          <w:rFonts w:cs="Times New Roman"/>
        </w:rPr>
        <w:tab/>
      </w:r>
      <w:r w:rsidR="67ED6602" w:rsidRPr="00FF668A">
        <w:rPr>
          <w:rFonts w:cs="Times New Roman"/>
        </w:rPr>
        <w:t>Initial</w:t>
      </w:r>
      <w:r w:rsidR="00503717">
        <w:rPr>
          <w:rFonts w:cs="Times New Roman"/>
        </w:rPr>
        <w:t>-</w:t>
      </w:r>
      <w:r w:rsidR="67ED6602" w:rsidRPr="00FF668A">
        <w:rPr>
          <w:rFonts w:cs="Times New Roman"/>
        </w:rPr>
        <w:t>Licensure Pr</w:t>
      </w:r>
      <w:r w:rsidR="00CB174D">
        <w:rPr>
          <w:rFonts w:cs="Times New Roman"/>
        </w:rPr>
        <w:t>eparation is provided through</w:t>
      </w:r>
      <w:r w:rsidR="67ED6602" w:rsidRPr="00FF668A">
        <w:rPr>
          <w:rFonts w:cs="Times New Roman"/>
        </w:rPr>
        <w:t xml:space="preserve"> programs at the baccalaureate or post-baccalaureate level</w:t>
      </w:r>
      <w:r w:rsidR="00CB174D">
        <w:rPr>
          <w:rFonts w:cs="Times New Roman"/>
        </w:rPr>
        <w:t>s</w:t>
      </w:r>
      <w:r w:rsidR="67ED6602" w:rsidRPr="00FF668A">
        <w:rPr>
          <w:rFonts w:cs="Times New Roman"/>
        </w:rPr>
        <w:t xml:space="preserve"> leading to initial</w:t>
      </w:r>
      <w:r w:rsidR="00503717">
        <w:rPr>
          <w:rFonts w:cs="Times New Roman"/>
        </w:rPr>
        <w:t>-</w:t>
      </w:r>
      <w:r w:rsidR="67ED6602" w:rsidRPr="00FF668A">
        <w:rPr>
          <w:rFonts w:cs="Times New Roman"/>
        </w:rPr>
        <w:t>licensure, certification, or endorsement that are designed to develop P-12 teachers.</w:t>
      </w:r>
      <w:r w:rsidR="00CB174D">
        <w:rPr>
          <w:rFonts w:cs="Times New Roman"/>
        </w:rPr>
        <w:t xml:space="preserve"> All Initial-Licensure Preparation programs within the Scope of Accreditation will be reviewed under CAEP Standards for Initial-Licensure.</w:t>
      </w:r>
    </w:p>
    <w:p w14:paraId="046A8E8C" w14:textId="77777777" w:rsidR="00C92B85" w:rsidRPr="00FF668A" w:rsidRDefault="00C92B85" w:rsidP="00616E8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p>
    <w:p w14:paraId="59722053" w14:textId="3051D16B" w:rsidR="00DD67B1" w:rsidRPr="007C3984" w:rsidRDefault="00960479" w:rsidP="00C546B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cs="Times New Roman"/>
        </w:rPr>
      </w:pPr>
      <w:r>
        <w:rPr>
          <w:rFonts w:cs="Times New Roman"/>
        </w:rPr>
        <w:t>1.3.2</w:t>
      </w:r>
      <w:r>
        <w:rPr>
          <w:rFonts w:cs="Times New Roman"/>
        </w:rPr>
        <w:tab/>
      </w:r>
      <w:r w:rsidR="67ED6602" w:rsidRPr="00FF668A">
        <w:rPr>
          <w:rFonts w:cs="Times New Roman"/>
        </w:rPr>
        <w:t>Advanced</w:t>
      </w:r>
      <w:r w:rsidR="007C3984">
        <w:rPr>
          <w:rFonts w:cs="Times New Roman"/>
        </w:rPr>
        <w:t>-</w:t>
      </w:r>
      <w:r w:rsidR="67ED6602" w:rsidRPr="00FF668A">
        <w:rPr>
          <w:rFonts w:cs="Times New Roman"/>
        </w:rPr>
        <w:t>Level Pr</w:t>
      </w:r>
      <w:r w:rsidR="00CB174D">
        <w:rPr>
          <w:rFonts w:cs="Times New Roman"/>
        </w:rPr>
        <w:t>eparation is provided through</w:t>
      </w:r>
      <w:r w:rsidR="67ED6602" w:rsidRPr="00FF668A">
        <w:rPr>
          <w:rFonts w:cs="Times New Roman"/>
        </w:rPr>
        <w:t xml:space="preserve"> programs at the post-baccalaureate or graduate level leading to licensure, certification, or endorsement. </w:t>
      </w:r>
      <w:r w:rsidR="00CB174D">
        <w:rPr>
          <w:rFonts w:cs="Times New Roman"/>
        </w:rPr>
        <w:t>Advanced-Level P</w:t>
      </w:r>
      <w:r w:rsidR="67ED6602" w:rsidRPr="00FF668A">
        <w:rPr>
          <w:rFonts w:cs="Times New Roman"/>
        </w:rPr>
        <w:t>rograms are designed to develop P-12 teachers who have already completed an initial</w:t>
      </w:r>
      <w:r w:rsidR="007C3984">
        <w:rPr>
          <w:rFonts w:cs="Times New Roman"/>
        </w:rPr>
        <w:t xml:space="preserve">-licensure </w:t>
      </w:r>
      <w:r w:rsidR="67ED6602" w:rsidRPr="00503717">
        <w:rPr>
          <w:rFonts w:cs="Times New Roman"/>
        </w:rPr>
        <w:t>program, currently licensed administrators, other certificated (or similar state language) school professionals for employment in P-12 schools/districts.</w:t>
      </w:r>
      <w:r w:rsidR="00CB174D">
        <w:rPr>
          <w:rFonts w:cs="Times New Roman"/>
        </w:rPr>
        <w:t xml:space="preserve"> All Advanced-Level programs within the Scope of Accreditation will be reviewed under CAEP Standards for Advanced-Level Preparation.</w:t>
      </w:r>
    </w:p>
    <w:p w14:paraId="349AD532" w14:textId="77777777" w:rsidR="003C2AE5" w:rsidRPr="00742238" w:rsidRDefault="003C2AE5" w:rsidP="00987C5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64"/>
        <w:rPr>
          <w:rFonts w:cs="Times New Roman"/>
          <w:b/>
          <w:bCs/>
          <w:highlight w:val="yellow"/>
        </w:rPr>
      </w:pPr>
    </w:p>
    <w:p w14:paraId="79BBED10" w14:textId="3287B529" w:rsidR="008E2A0C" w:rsidRDefault="67ED6602" w:rsidP="001F68C6">
      <w:pPr>
        <w:pStyle w:val="Body"/>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b/>
          <w:bCs/>
        </w:rPr>
      </w:pPr>
      <w:r w:rsidRPr="67ED6602">
        <w:rPr>
          <w:rFonts w:cs="Times New Roman"/>
          <w:b/>
          <w:bCs/>
        </w:rPr>
        <w:t>CAEP’s Responsibility for Education Preparation Provider (EPP) Accreditation</w:t>
      </w:r>
    </w:p>
    <w:p w14:paraId="4A29A6D4" w14:textId="77777777" w:rsidR="00C162BA" w:rsidRDefault="00C162BA" w:rsidP="00C162B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bCs/>
        </w:rPr>
      </w:pPr>
    </w:p>
    <w:p w14:paraId="4C353892" w14:textId="2A66F09E" w:rsidR="00C162BA" w:rsidRPr="00F92E9A" w:rsidRDefault="67ED6602" w:rsidP="67ED660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rPr>
      </w:pPr>
      <w:r w:rsidRPr="67ED6602">
        <w:rPr>
          <w:rFonts w:cs="Times New Roman"/>
        </w:rPr>
        <w:t>The Parties understand and agree that:</w:t>
      </w:r>
    </w:p>
    <w:p w14:paraId="0324C535" w14:textId="77777777" w:rsidR="00C162BA" w:rsidRPr="00C162BA" w:rsidRDefault="00C162BA" w:rsidP="00C162BA">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2"/>
        <w:rPr>
          <w:rFonts w:eastAsia="Times New Roman" w:cs="Times New Roman"/>
          <w:color w:val="666666"/>
          <w:bdr w:val="none" w:sz="0" w:space="0" w:color="auto"/>
        </w:rPr>
      </w:pPr>
    </w:p>
    <w:p w14:paraId="64A8805C" w14:textId="57C44AFF" w:rsidR="00C162BA" w:rsidRPr="00C162BA" w:rsidRDefault="230EC9E1" w:rsidP="001F68C6">
      <w:pPr>
        <w:pStyle w:val="Body"/>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2"/>
        <w:rPr>
          <w:rFonts w:eastAsia="Times New Roman" w:cs="Times New Roman"/>
          <w:color w:val="666666"/>
        </w:rPr>
      </w:pPr>
      <w:r w:rsidRPr="683210B7">
        <w:rPr>
          <w:rFonts w:cs="Times New Roman"/>
        </w:rPr>
        <w:t xml:space="preserve">CAEP, through the Accreditation Council, has sole responsibility for granting CAEP </w:t>
      </w:r>
      <w:r w:rsidR="00D344BD" w:rsidRPr="683210B7">
        <w:rPr>
          <w:rFonts w:cs="Times New Roman"/>
        </w:rPr>
        <w:t>a</w:t>
      </w:r>
      <w:r w:rsidRPr="683210B7">
        <w:rPr>
          <w:rFonts w:cs="Times New Roman"/>
        </w:rPr>
        <w:t xml:space="preserve">ccreditation to an EPP. </w:t>
      </w:r>
    </w:p>
    <w:p w14:paraId="395B1DA6" w14:textId="77777777" w:rsidR="00C162BA" w:rsidRPr="00C162BA" w:rsidRDefault="00C162BA" w:rsidP="00C162BA">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2"/>
        <w:rPr>
          <w:rFonts w:eastAsia="Times New Roman" w:cs="Times New Roman"/>
          <w:color w:val="666666"/>
          <w:bdr w:val="none" w:sz="0" w:space="0" w:color="auto"/>
        </w:rPr>
      </w:pPr>
    </w:p>
    <w:p w14:paraId="696A87DC" w14:textId="4BF3310C" w:rsidR="0004350D" w:rsidRPr="00370558" w:rsidRDefault="230EC9E1" w:rsidP="001F68C6">
      <w:pPr>
        <w:pStyle w:val="Body"/>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2"/>
        <w:rPr>
          <w:rFonts w:eastAsia="Times New Roman" w:cs="Times New Roman"/>
          <w:color w:val="666666"/>
        </w:rPr>
      </w:pPr>
      <w:r w:rsidRPr="0C9B13AB">
        <w:rPr>
          <w:rFonts w:cs="Times New Roman"/>
        </w:rPr>
        <w:t>The process required for accreditation by CAEP is outlined in</w:t>
      </w:r>
      <w:r w:rsidR="00822F3F">
        <w:rPr>
          <w:rFonts w:cs="Times New Roman"/>
        </w:rPr>
        <w:t xml:space="preserve"> </w:t>
      </w:r>
      <w:hyperlink r:id="rId16" w:history="1">
        <w:r w:rsidR="00822F3F" w:rsidRPr="00D43092">
          <w:rPr>
            <w:rStyle w:val="Hyperlink"/>
            <w:rFonts w:cs="Times New Roman"/>
          </w:rPr>
          <w:t>Accreditation Poli</w:t>
        </w:r>
        <w:r w:rsidR="00D43092" w:rsidRPr="00D43092">
          <w:rPr>
            <w:rStyle w:val="Hyperlink"/>
            <w:rFonts w:cs="Times New Roman"/>
          </w:rPr>
          <w:t>ci</w:t>
        </w:r>
        <w:r w:rsidR="00822F3F" w:rsidRPr="00D43092">
          <w:rPr>
            <w:rStyle w:val="Hyperlink"/>
            <w:rFonts w:cs="Times New Roman"/>
          </w:rPr>
          <w:t>es and Procedures</w:t>
        </w:r>
      </w:hyperlink>
      <w:r w:rsidR="00A34D4D">
        <w:rPr>
          <w:rFonts w:cs="Times New Roman"/>
        </w:rPr>
        <w:t>, which</w:t>
      </w:r>
      <w:r w:rsidRPr="0C9B13AB">
        <w:rPr>
          <w:rFonts w:cs="Times New Roman"/>
        </w:rPr>
        <w:t xml:space="preserve"> may be revised from time to time. It is the responsibility of the State and any EPP seeking CAEP </w:t>
      </w:r>
      <w:r w:rsidR="007E5685" w:rsidRPr="0C9B13AB">
        <w:rPr>
          <w:rFonts w:cs="Times New Roman"/>
        </w:rPr>
        <w:t>a</w:t>
      </w:r>
      <w:r w:rsidRPr="0C9B13AB">
        <w:rPr>
          <w:rFonts w:cs="Times New Roman"/>
        </w:rPr>
        <w:t xml:space="preserve">ccreditation to stay informed of any such changes as they may impact the CAEP </w:t>
      </w:r>
      <w:r w:rsidR="007E5685" w:rsidRPr="0C9B13AB">
        <w:rPr>
          <w:rFonts w:cs="Times New Roman"/>
        </w:rPr>
        <w:t>a</w:t>
      </w:r>
      <w:r w:rsidRPr="0C9B13AB">
        <w:rPr>
          <w:rFonts w:cs="Times New Roman"/>
        </w:rPr>
        <w:t>ccreditation process from the time of their adoption or publication.</w:t>
      </w:r>
      <w:r w:rsidR="00820073">
        <w:rPr>
          <w:rFonts w:cs="Times New Roman"/>
        </w:rPr>
        <w:t xml:space="preserve"> CAEP makes providers and the state aware of any policy changes through </w:t>
      </w:r>
      <w:r w:rsidR="00147698">
        <w:rPr>
          <w:rFonts w:cs="Times New Roman"/>
        </w:rPr>
        <w:t xml:space="preserve">a variety of sources, including </w:t>
      </w:r>
      <w:r w:rsidR="00820073">
        <w:rPr>
          <w:color w:val="000000" w:themeColor="text1"/>
        </w:rPr>
        <w:t>the CAEP newsletter, during cohort meetings, state partner webinars and clinics and at CAEP conferences.</w:t>
      </w:r>
    </w:p>
    <w:p w14:paraId="1B3DA9C8" w14:textId="77777777" w:rsidR="0004350D" w:rsidRDefault="0004350D" w:rsidP="00616E8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b/>
          <w:bCs/>
        </w:rPr>
      </w:pPr>
    </w:p>
    <w:p w14:paraId="02DC0480" w14:textId="53498BFF" w:rsidR="007B73B6" w:rsidRDefault="67ED6602" w:rsidP="001F68C6">
      <w:pPr>
        <w:pStyle w:val="Body"/>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b/>
          <w:bCs/>
        </w:rPr>
      </w:pPr>
      <w:r w:rsidRPr="67ED6602">
        <w:rPr>
          <w:rFonts w:cs="Times New Roman"/>
          <w:b/>
          <w:bCs/>
        </w:rPr>
        <w:t>State’s Responsibility for Program Approval</w:t>
      </w:r>
    </w:p>
    <w:p w14:paraId="478C9FCF" w14:textId="548DA543" w:rsidR="00C92B85" w:rsidRDefault="00C92B85" w:rsidP="00C92B8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b/>
          <w:bCs/>
        </w:rPr>
      </w:pPr>
    </w:p>
    <w:p w14:paraId="5909CD9C" w14:textId="51B8B105" w:rsidR="00C92B85" w:rsidRPr="00616E8E" w:rsidRDefault="00C92B85" w:rsidP="00616E8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outlineLvl w:val="0"/>
        <w:rPr>
          <w:rFonts w:cs="Times New Roman"/>
        </w:rPr>
      </w:pPr>
      <w:r w:rsidRPr="67ED6602">
        <w:rPr>
          <w:rFonts w:cs="Times New Roman"/>
        </w:rPr>
        <w:t>The Parties understand and agree that:</w:t>
      </w:r>
    </w:p>
    <w:p w14:paraId="1F1A71D4" w14:textId="77777777" w:rsidR="00C92B85" w:rsidRDefault="00C92B85" w:rsidP="00616E8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b/>
          <w:bCs/>
        </w:rPr>
      </w:pPr>
    </w:p>
    <w:p w14:paraId="6A239273" w14:textId="3FBD2D8C" w:rsidR="000F3483" w:rsidRPr="00B77552" w:rsidRDefault="230EC9E1" w:rsidP="001F68C6">
      <w:pPr>
        <w:pStyle w:val="Default"/>
        <w:numPr>
          <w:ilvl w:val="1"/>
          <w:numId w:val="11"/>
        </w:numPr>
        <w:shd w:val="clear" w:color="auto" w:fill="FFFFFF" w:themeFill="background1"/>
        <w:ind w:left="432"/>
        <w:rPr>
          <w:rFonts w:ascii="Times New Roman" w:eastAsia="Times New Roman" w:hAnsi="Times New Roman" w:cs="Times New Roman"/>
        </w:rPr>
      </w:pPr>
      <w:r w:rsidRPr="683210B7">
        <w:rPr>
          <w:rFonts w:ascii="Times New Roman" w:hAnsi="Times New Roman" w:cs="Times New Roman"/>
        </w:rPr>
        <w:t>The State ha</w:t>
      </w:r>
      <w:r w:rsidR="0056279C" w:rsidRPr="683210B7">
        <w:rPr>
          <w:rFonts w:ascii="Times New Roman" w:hAnsi="Times New Roman" w:cs="Times New Roman"/>
        </w:rPr>
        <w:t>s</w:t>
      </w:r>
      <w:r w:rsidRPr="683210B7">
        <w:rPr>
          <w:rFonts w:ascii="Times New Roman" w:hAnsi="Times New Roman" w:cs="Times New Roman"/>
        </w:rPr>
        <w:t xml:space="preserve"> responsibility for program approval. In granting program approval, the State will utilize information generated from CAEP’s review</w:t>
      </w:r>
      <w:r w:rsidR="007E5685" w:rsidRPr="683210B7">
        <w:rPr>
          <w:rFonts w:ascii="Times New Roman" w:hAnsi="Times New Roman" w:cs="Times New Roman"/>
        </w:rPr>
        <w:t>(s)</w:t>
      </w:r>
      <w:r w:rsidRPr="683210B7">
        <w:rPr>
          <w:rFonts w:ascii="Times New Roman" w:hAnsi="Times New Roman" w:cs="Times New Roman"/>
        </w:rPr>
        <w:t xml:space="preserve"> of an EPP, including but not limited to an Accreditation Council decision on CAEP </w:t>
      </w:r>
      <w:r w:rsidR="007E5685" w:rsidRPr="683210B7">
        <w:rPr>
          <w:rFonts w:ascii="Times New Roman" w:hAnsi="Times New Roman" w:cs="Times New Roman"/>
        </w:rPr>
        <w:t>a</w:t>
      </w:r>
      <w:r w:rsidRPr="683210B7">
        <w:rPr>
          <w:rFonts w:ascii="Times New Roman" w:hAnsi="Times New Roman" w:cs="Times New Roman"/>
        </w:rPr>
        <w:t xml:space="preserve">ccreditation and the assignment of any Areas for Improvement (AFIs) and Stipulations, as described in </w:t>
      </w:r>
      <w:r w:rsidR="007E5685" w:rsidRPr="683210B7">
        <w:rPr>
          <w:rFonts w:ascii="Times New Roman" w:hAnsi="Times New Roman" w:cs="Times New Roman"/>
        </w:rPr>
        <w:t>CAEP p</w:t>
      </w:r>
      <w:r w:rsidRPr="683210B7">
        <w:rPr>
          <w:rFonts w:ascii="Times New Roman" w:hAnsi="Times New Roman" w:cs="Times New Roman"/>
        </w:rPr>
        <w:t>olicy. Although the State may elect to have state-specific standards and/or requirements incorporated into the CAEP review, consistent with the program review options outlined below,</w:t>
      </w:r>
      <w:r w:rsidR="006C5A92" w:rsidRPr="683210B7">
        <w:rPr>
          <w:rFonts w:ascii="Times New Roman" w:hAnsi="Times New Roman" w:cs="Times New Roman"/>
        </w:rPr>
        <w:t xml:space="preserve"> only</w:t>
      </w:r>
      <w:r w:rsidRPr="683210B7">
        <w:rPr>
          <w:rFonts w:ascii="Times New Roman" w:hAnsi="Times New Roman" w:cs="Times New Roman"/>
        </w:rPr>
        <w:t xml:space="preserve"> information gathered on </w:t>
      </w:r>
      <w:r w:rsidR="006C5A92" w:rsidRPr="683210B7">
        <w:rPr>
          <w:rFonts w:ascii="Times New Roman" w:hAnsi="Times New Roman" w:cs="Times New Roman"/>
        </w:rPr>
        <w:t>an EPP’s compliance with CAEP</w:t>
      </w:r>
      <w:r w:rsidR="00796119" w:rsidRPr="683210B7">
        <w:rPr>
          <w:rFonts w:ascii="Times New Roman" w:hAnsi="Times New Roman" w:cs="Times New Roman"/>
        </w:rPr>
        <w:t xml:space="preserve"> </w:t>
      </w:r>
      <w:r w:rsidR="006C5A92" w:rsidRPr="683210B7">
        <w:rPr>
          <w:rFonts w:ascii="Times New Roman" w:hAnsi="Times New Roman" w:cs="Times New Roman"/>
        </w:rPr>
        <w:t>S</w:t>
      </w:r>
      <w:r w:rsidRPr="683210B7">
        <w:rPr>
          <w:rFonts w:ascii="Times New Roman" w:hAnsi="Times New Roman" w:cs="Times New Roman"/>
        </w:rPr>
        <w:t>tandards and requirements will</w:t>
      </w:r>
      <w:r w:rsidR="006C5A92" w:rsidRPr="683210B7">
        <w:rPr>
          <w:rFonts w:ascii="Times New Roman" w:hAnsi="Times New Roman" w:cs="Times New Roman"/>
        </w:rPr>
        <w:t xml:space="preserve"> be used </w:t>
      </w:r>
      <w:r w:rsidR="005E2B9C" w:rsidRPr="683210B7">
        <w:rPr>
          <w:rFonts w:ascii="Times New Roman" w:hAnsi="Times New Roman" w:cs="Times New Roman"/>
        </w:rPr>
        <w:t xml:space="preserve">by the Accreditation Council to </w:t>
      </w:r>
      <w:proofErr w:type="gramStart"/>
      <w:r w:rsidR="005E2B9C" w:rsidRPr="683210B7">
        <w:rPr>
          <w:rFonts w:ascii="Times New Roman" w:hAnsi="Times New Roman" w:cs="Times New Roman"/>
        </w:rPr>
        <w:t>make a decision</w:t>
      </w:r>
      <w:proofErr w:type="gramEnd"/>
      <w:r w:rsidRPr="683210B7">
        <w:rPr>
          <w:rFonts w:ascii="Times New Roman" w:hAnsi="Times New Roman" w:cs="Times New Roman"/>
        </w:rPr>
        <w:t xml:space="preserve">. </w:t>
      </w:r>
    </w:p>
    <w:p w14:paraId="0BBD5C81" w14:textId="77777777" w:rsidR="00C92B85" w:rsidRPr="00B77552" w:rsidRDefault="00C92B85" w:rsidP="00616E8E">
      <w:pPr>
        <w:pStyle w:val="Default"/>
        <w:shd w:val="clear" w:color="auto" w:fill="FFFFFF" w:themeFill="background1"/>
        <w:rPr>
          <w:rFonts w:ascii="Times New Roman" w:eastAsia="Times New Roman" w:hAnsi="Times New Roman" w:cs="Times New Roman"/>
          <w:highlight w:val="yellow"/>
        </w:rPr>
      </w:pPr>
    </w:p>
    <w:p w14:paraId="71B6393D" w14:textId="33891534" w:rsidR="000F3483" w:rsidRPr="008078D2" w:rsidRDefault="230EC9E1" w:rsidP="001F68C6">
      <w:pPr>
        <w:pStyle w:val="Default"/>
        <w:numPr>
          <w:ilvl w:val="1"/>
          <w:numId w:val="11"/>
        </w:numPr>
        <w:shd w:val="clear" w:color="auto" w:fill="FFFFFF" w:themeFill="background1"/>
        <w:ind w:left="432"/>
        <w:rPr>
          <w:rFonts w:ascii="Times New Roman" w:eastAsia="Times New Roman" w:hAnsi="Times New Roman" w:cs="Times New Roman"/>
        </w:rPr>
      </w:pPr>
      <w:r w:rsidRPr="230EC9E1">
        <w:rPr>
          <w:rFonts w:ascii="Times New Roman" w:hAnsi="Times New Roman" w:cs="Times New Roman"/>
        </w:rPr>
        <w:lastRenderedPageBreak/>
        <w:t>The State will periodically review its program review requirements against the CAEP Standards and policies and will, in a timely manner, make CAEP aware of any conflicts or potential inconsistencies so that all parties to this agreement are aware of any such issues and can work constructively together to minimize any challenges that may arise from them.</w:t>
      </w:r>
    </w:p>
    <w:p w14:paraId="0ED09F59" w14:textId="77777777" w:rsidR="008078D2" w:rsidRPr="00C85B37" w:rsidRDefault="008078D2" w:rsidP="008078D2">
      <w:pPr>
        <w:pStyle w:val="Default"/>
        <w:shd w:val="clear" w:color="auto" w:fill="FFFFFF"/>
        <w:ind w:left="432"/>
        <w:rPr>
          <w:rFonts w:ascii="Times New Roman" w:eastAsia="Times New Roman" w:hAnsi="Times New Roman" w:cs="Times New Roman"/>
        </w:rPr>
      </w:pPr>
    </w:p>
    <w:p w14:paraId="7A21B079" w14:textId="77777777" w:rsidR="00012B6F" w:rsidRDefault="00012B6F" w:rsidP="00616E8E">
      <w:pPr>
        <w:pStyle w:val="NormalWeb"/>
        <w:shd w:val="clear" w:color="auto" w:fill="FFFFFF" w:themeFill="background1"/>
        <w:spacing w:before="0" w:after="0"/>
      </w:pPr>
    </w:p>
    <w:p w14:paraId="1DA13026" w14:textId="77777777" w:rsidR="008078D2" w:rsidRPr="00F92E9A" w:rsidRDefault="008078D2" w:rsidP="008078D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b/>
          <w:bCs/>
        </w:rPr>
      </w:pPr>
    </w:p>
    <w:p w14:paraId="7A9BE625" w14:textId="7E2E570D" w:rsidR="00E543E9" w:rsidRPr="008078D2" w:rsidRDefault="008078D2" w:rsidP="001F68C6">
      <w:pPr>
        <w:pStyle w:val="Body"/>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b/>
          <w:bCs/>
        </w:rPr>
      </w:pPr>
      <w:r>
        <w:rPr>
          <w:rFonts w:cs="Times New Roman"/>
          <w:b/>
          <w:bCs/>
        </w:rPr>
        <w:t>CAEP Accreditation Cycle</w:t>
      </w:r>
    </w:p>
    <w:p w14:paraId="398278DF" w14:textId="77777777" w:rsidR="008E2A0C" w:rsidRPr="00F92E9A" w:rsidRDefault="008E2A0C" w:rsidP="001A4DC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bCs/>
        </w:rPr>
      </w:pPr>
    </w:p>
    <w:p w14:paraId="5D63D8CE" w14:textId="53BAD23D" w:rsidR="008E2A0C" w:rsidRPr="00F92E9A" w:rsidRDefault="003C2AE5" w:rsidP="003C2AE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bCs/>
        </w:rPr>
      </w:pPr>
      <w:r>
        <w:rPr>
          <w:rFonts w:cs="Times New Roman"/>
          <w:bCs/>
        </w:rPr>
        <w:t>The Parties</w:t>
      </w:r>
      <w:r w:rsidR="008E2A0C" w:rsidRPr="00F92E9A">
        <w:rPr>
          <w:rFonts w:cs="Times New Roman"/>
          <w:bCs/>
        </w:rPr>
        <w:t xml:space="preserve"> </w:t>
      </w:r>
      <w:r>
        <w:rPr>
          <w:rFonts w:cs="Times New Roman"/>
          <w:bCs/>
        </w:rPr>
        <w:t>understand</w:t>
      </w:r>
      <w:r w:rsidR="008E2A0C" w:rsidRPr="00F92E9A">
        <w:rPr>
          <w:rFonts w:cs="Times New Roman"/>
          <w:bCs/>
        </w:rPr>
        <w:t xml:space="preserve"> </w:t>
      </w:r>
      <w:r>
        <w:rPr>
          <w:rFonts w:cs="Times New Roman"/>
          <w:bCs/>
        </w:rPr>
        <w:t>and agree</w:t>
      </w:r>
      <w:r w:rsidR="00E542A2" w:rsidRPr="00F92E9A">
        <w:rPr>
          <w:rFonts w:cs="Times New Roman"/>
          <w:bCs/>
        </w:rPr>
        <w:t xml:space="preserve"> </w:t>
      </w:r>
      <w:r w:rsidR="008E2A0C" w:rsidRPr="00F92E9A">
        <w:rPr>
          <w:rFonts w:cs="Times New Roman"/>
          <w:bCs/>
        </w:rPr>
        <w:t>that:</w:t>
      </w:r>
    </w:p>
    <w:p w14:paraId="4CE1F37C" w14:textId="40764E6E" w:rsidR="00E542A2" w:rsidRDefault="00E542A2" w:rsidP="001A4DC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bCs/>
        </w:rPr>
      </w:pPr>
    </w:p>
    <w:p w14:paraId="7B5EE3D1" w14:textId="6280FF67" w:rsidR="00CF154E" w:rsidRPr="00C85B37" w:rsidRDefault="230EC9E1" w:rsidP="001F68C6">
      <w:pPr>
        <w:pStyle w:val="Body"/>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2"/>
        <w:rPr>
          <w:rFonts w:eastAsia="Times New Roman" w:cs="Times New Roman"/>
          <w:color w:val="666666"/>
        </w:rPr>
      </w:pPr>
      <w:r w:rsidRPr="230EC9E1">
        <w:rPr>
          <w:rFonts w:cs="Times New Roman"/>
        </w:rPr>
        <w:t xml:space="preserve">The CAEP </w:t>
      </w:r>
      <w:r w:rsidR="00135FE3">
        <w:rPr>
          <w:rFonts w:cs="Times New Roman"/>
        </w:rPr>
        <w:t>a</w:t>
      </w:r>
      <w:r w:rsidRPr="230EC9E1">
        <w:rPr>
          <w:rFonts w:cs="Times New Roman"/>
        </w:rPr>
        <w:t xml:space="preserve">ccreditation cycle involves an EPP in continuous improvement and requires an EPP to demonstrate that it meets CAEP’s high standards of quality required to improve P-12 student learning. </w:t>
      </w:r>
    </w:p>
    <w:p w14:paraId="671227DE" w14:textId="77777777" w:rsidR="00882465" w:rsidRDefault="00882465" w:rsidP="00882465">
      <w:pPr>
        <w:pStyle w:val="NormalWeb"/>
        <w:shd w:val="clear" w:color="auto" w:fill="FFFFFF"/>
        <w:spacing w:before="0" w:after="0"/>
        <w:ind w:left="432"/>
      </w:pPr>
    </w:p>
    <w:p w14:paraId="23B0E412" w14:textId="09D3068F" w:rsidR="00E543E9" w:rsidRDefault="00135FE3" w:rsidP="001F68C6">
      <w:pPr>
        <w:pStyle w:val="NormalWeb"/>
        <w:numPr>
          <w:ilvl w:val="1"/>
          <w:numId w:val="11"/>
        </w:numPr>
        <w:shd w:val="clear" w:color="auto" w:fill="FFFFFF" w:themeFill="background1"/>
        <w:spacing w:before="0" w:after="0"/>
        <w:ind w:left="432"/>
      </w:pPr>
      <w:r>
        <w:t>T</w:t>
      </w:r>
      <w:r w:rsidR="230EC9E1">
        <w:t xml:space="preserve">o merit full accreditation by CAEP, an EPP must meet all CAEP Standards on the basis of sufficient and accurate evidence. </w:t>
      </w:r>
    </w:p>
    <w:p w14:paraId="743CA3E8" w14:textId="31D37C7A" w:rsidR="00BF314B" w:rsidRDefault="00BF314B" w:rsidP="00BF314B">
      <w:pPr>
        <w:pStyle w:val="ListParagraph"/>
        <w:rPr>
          <w:rFonts w:eastAsia="Times New Roman" w:cs="Times New Roman"/>
          <w:color w:val="000000" w:themeColor="text1"/>
          <w:bdr w:val="none" w:sz="0" w:space="0" w:color="auto"/>
        </w:rPr>
      </w:pPr>
    </w:p>
    <w:p w14:paraId="09A07287" w14:textId="3262EC39" w:rsidR="00936985" w:rsidRPr="009D60D2" w:rsidRDefault="00CF154E" w:rsidP="001F68C6">
      <w:pPr>
        <w:pStyle w:val="ListParagraph"/>
        <w:numPr>
          <w:ilvl w:val="1"/>
          <w:numId w:val="11"/>
        </w:numPr>
        <w:ind w:left="432"/>
      </w:pPr>
      <w:r>
        <w:t>A</w:t>
      </w:r>
      <w:r w:rsidR="009D60D2">
        <w:t xml:space="preserve"> </w:t>
      </w:r>
      <w:r w:rsidR="00B137AA">
        <w:t>Site R</w:t>
      </w:r>
      <w:r w:rsidR="00036574">
        <w:t>eview</w:t>
      </w:r>
      <w:r w:rsidR="00B73442" w:rsidRPr="00F92E9A">
        <w:t>, carried out by a</w:t>
      </w:r>
      <w:r w:rsidR="000B610C">
        <w:t>n Evaluation</w:t>
      </w:r>
      <w:r w:rsidR="00B73442" w:rsidRPr="00F92E9A">
        <w:t xml:space="preserve"> </w:t>
      </w:r>
      <w:r w:rsidR="000B610C">
        <w:t>T</w:t>
      </w:r>
      <w:r w:rsidR="00936985" w:rsidRPr="00F92E9A">
        <w:t>eam,</w:t>
      </w:r>
      <w:r w:rsidR="005D3EA2" w:rsidRPr="00F92E9A">
        <w:t xml:space="preserve"> is an essential part of the accreditation process</w:t>
      </w:r>
      <w:r w:rsidR="00936985" w:rsidRPr="00F92E9A">
        <w:t>. Members of the assigned team investigate the quality of an EPP</w:t>
      </w:r>
      <w:r w:rsidR="00445BDD">
        <w:t>’</w:t>
      </w:r>
      <w:r w:rsidR="00936985" w:rsidRPr="00F92E9A">
        <w:t>s evidence, including the accuracy and consistency of the evidence provided in relation to CAEP Standards.</w:t>
      </w:r>
      <w:r w:rsidR="001F7017">
        <w:t xml:space="preserve"> In accordance with </w:t>
      </w:r>
      <w:r w:rsidR="00135FE3">
        <w:t>CAEP policy</w:t>
      </w:r>
      <w:r w:rsidR="001F7017">
        <w:t xml:space="preserve">, CAEP may utilize a virtual site </w:t>
      </w:r>
      <w:r w:rsidR="00036574">
        <w:t>review</w:t>
      </w:r>
      <w:r w:rsidR="00564EA7">
        <w:t xml:space="preserve"> or may have one or more </w:t>
      </w:r>
      <w:r w:rsidR="000B610C">
        <w:t>Evaluation T</w:t>
      </w:r>
      <w:r w:rsidR="00564EA7">
        <w:t>eam members participating using electronic means</w:t>
      </w:r>
      <w:r w:rsidR="001F7017">
        <w:t>.</w:t>
      </w:r>
      <w:r w:rsidR="00936985" w:rsidRPr="00F92E9A">
        <w:t xml:space="preserve"> </w:t>
      </w:r>
    </w:p>
    <w:p w14:paraId="00E2D172" w14:textId="77777777" w:rsidR="009D60D2" w:rsidRDefault="009D60D2">
      <w:pPr>
        <w:pStyle w:val="ListParagraph"/>
      </w:pPr>
    </w:p>
    <w:p w14:paraId="77EA813A" w14:textId="2902C0F0" w:rsidR="009D60D2" w:rsidRPr="009D60D2" w:rsidRDefault="00B73442" w:rsidP="001F68C6">
      <w:pPr>
        <w:pStyle w:val="Body"/>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pPr>
      <w:r w:rsidRPr="009D60D2">
        <w:rPr>
          <w:rFonts w:cs="Times New Roman"/>
        </w:rPr>
        <w:t xml:space="preserve">The State elects that CAEP’s reviews of EPPs in the State will be carried out using </w:t>
      </w:r>
      <w:r w:rsidR="000B610C">
        <w:rPr>
          <w:rFonts w:cs="Times New Roman"/>
        </w:rPr>
        <w:t>Evaluation Teams</w:t>
      </w:r>
      <w:r w:rsidRPr="009D60D2">
        <w:rPr>
          <w:rFonts w:cs="Times New Roman"/>
        </w:rPr>
        <w:t xml:space="preserve"> composed as follows:</w:t>
      </w:r>
      <w:r w:rsidR="009D60D2" w:rsidRPr="009D60D2">
        <w:rPr>
          <w:rFonts w:eastAsia="Times New Roman" w:cs="Times New Roman"/>
          <w:color w:val="FF0000"/>
          <w:bdr w:val="none" w:sz="0" w:space="0" w:color="auto"/>
        </w:rPr>
        <w:t xml:space="preserve">  </w:t>
      </w:r>
    </w:p>
    <w:p w14:paraId="3A65FD4C" w14:textId="77777777" w:rsidR="00422602" w:rsidRDefault="72137A6A" w:rsidP="00422602">
      <w:pPr>
        <w:pStyle w:val="Body"/>
        <w:widowControl w:val="0"/>
        <w:numPr>
          <w:ilvl w:val="2"/>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rPr>
      </w:pPr>
      <w:r w:rsidRPr="00422602">
        <w:rPr>
          <w:rFonts w:eastAsia="Times New Roman" w:cs="Times New Roman"/>
          <w:b/>
          <w:bCs/>
          <w:color w:val="000000" w:themeColor="text1"/>
        </w:rPr>
        <w:t xml:space="preserve">CAEP Only Team. The </w:t>
      </w:r>
      <w:r w:rsidR="000B610C" w:rsidRPr="00422602">
        <w:rPr>
          <w:rFonts w:cs="Times New Roman"/>
          <w:b/>
          <w:bCs/>
        </w:rPr>
        <w:t xml:space="preserve">Evaluation Team </w:t>
      </w:r>
      <w:r w:rsidRPr="00422602">
        <w:rPr>
          <w:rFonts w:eastAsia="Times New Roman" w:cs="Times New Roman"/>
          <w:b/>
          <w:bCs/>
          <w:color w:val="000000" w:themeColor="text1"/>
        </w:rPr>
        <w:t xml:space="preserve">is appointed by CAEP using </w:t>
      </w:r>
      <w:r w:rsidR="000B610C" w:rsidRPr="00422602">
        <w:rPr>
          <w:rFonts w:eastAsia="Times New Roman" w:cs="Times New Roman"/>
          <w:b/>
          <w:bCs/>
          <w:color w:val="000000" w:themeColor="text1"/>
        </w:rPr>
        <w:t>volunteers trained to carry out Evaluation Team duties.</w:t>
      </w:r>
      <w:r w:rsidRPr="00422602">
        <w:rPr>
          <w:rFonts w:eastAsia="Times New Roman" w:cs="Times New Roman"/>
          <w:b/>
          <w:bCs/>
          <w:color w:val="000000" w:themeColor="text1"/>
        </w:rPr>
        <w:t xml:space="preserve"> Prior to assignment to any </w:t>
      </w:r>
      <w:r w:rsidR="000B610C" w:rsidRPr="00422602">
        <w:rPr>
          <w:rFonts w:cs="Times New Roman"/>
          <w:b/>
          <w:bCs/>
        </w:rPr>
        <w:t>Evaluation Teams</w:t>
      </w:r>
      <w:r w:rsidRPr="00422602">
        <w:rPr>
          <w:rFonts w:eastAsia="Times New Roman" w:cs="Times New Roman"/>
          <w:b/>
          <w:bCs/>
          <w:color w:val="000000" w:themeColor="text1"/>
        </w:rPr>
        <w:t xml:space="preserve">, an individual must have successfully completed CAEP training for </w:t>
      </w:r>
      <w:r w:rsidR="008550BB" w:rsidRPr="00422602">
        <w:rPr>
          <w:rFonts w:eastAsia="Times New Roman" w:cs="Times New Roman"/>
          <w:b/>
          <w:bCs/>
          <w:color w:val="000000" w:themeColor="text1"/>
        </w:rPr>
        <w:t>Evaluation Team</w:t>
      </w:r>
      <w:r w:rsidRPr="00422602">
        <w:rPr>
          <w:rFonts w:eastAsia="Times New Roman" w:cs="Times New Roman"/>
          <w:b/>
          <w:bCs/>
          <w:color w:val="000000" w:themeColor="text1"/>
        </w:rPr>
        <w:t xml:space="preserve"> members</w:t>
      </w:r>
      <w:r w:rsidR="008550BB" w:rsidRPr="00422602">
        <w:rPr>
          <w:rFonts w:eastAsia="Times New Roman" w:cs="Times New Roman"/>
          <w:b/>
          <w:bCs/>
          <w:color w:val="000000" w:themeColor="text1"/>
        </w:rPr>
        <w:t xml:space="preserve"> (or Evaluation Team leaders, if applicable)</w:t>
      </w:r>
      <w:r w:rsidRPr="00422602">
        <w:rPr>
          <w:rFonts w:eastAsia="Times New Roman" w:cs="Times New Roman"/>
          <w:b/>
          <w:bCs/>
          <w:color w:val="000000" w:themeColor="text1"/>
        </w:rPr>
        <w:t xml:space="preserve"> and must acknowledge understanding of, and agreement to, adhere to CAEP’s code of conduct, including with regard to confidentiality and conflicts of interest. </w:t>
      </w:r>
      <w:r w:rsidR="22A41F22" w:rsidRPr="00422602">
        <w:rPr>
          <w:rFonts w:eastAsia="Times New Roman" w:cs="Times New Roman"/>
          <w:strike/>
        </w:rPr>
        <w:t xml:space="preserve">. </w:t>
      </w:r>
    </w:p>
    <w:p w14:paraId="7C796A76" w14:textId="77777777" w:rsidR="00466AE4" w:rsidRPr="007474BB" w:rsidRDefault="00466AE4" w:rsidP="00616E8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0C574BCA" w14:textId="48155122" w:rsidR="00CE7E86" w:rsidRDefault="230EC9E1" w:rsidP="001F68C6">
      <w:pPr>
        <w:pStyle w:val="Body"/>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pPr>
      <w:r>
        <w:t xml:space="preserve">Prior to assignment to any CAEP </w:t>
      </w:r>
      <w:r w:rsidR="001D2BF0">
        <w:t>Evaluation Team</w:t>
      </w:r>
      <w:r>
        <w:t xml:space="preserve">, an individual must have successfully completed CAEP training for </w:t>
      </w:r>
      <w:r w:rsidR="003F6EF8">
        <w:t xml:space="preserve">review </w:t>
      </w:r>
      <w:r>
        <w:t>team members and must acknowledge understanding of, and agreement to, adhere to CAEP’s code of conduct, including with regard to confidentiality and conflicts of interest.</w:t>
      </w:r>
    </w:p>
    <w:p w14:paraId="0E3A09E5" w14:textId="77777777" w:rsidR="00C85B37" w:rsidRDefault="00C85B37" w:rsidP="00912678">
      <w:pPr>
        <w:pStyle w:val="ListParagraph"/>
        <w:ind w:left="360"/>
      </w:pPr>
    </w:p>
    <w:p w14:paraId="522BB390" w14:textId="3E2A52B3" w:rsidR="006566EF" w:rsidRPr="00B111D0" w:rsidRDefault="00CE7E86" w:rsidP="001F68C6">
      <w:pPr>
        <w:pStyle w:val="ListParagraph"/>
        <w:numPr>
          <w:ilvl w:val="1"/>
          <w:numId w:val="11"/>
        </w:numPr>
        <w:ind w:left="432"/>
      </w:pPr>
      <w:r>
        <w:t xml:space="preserve">Each </w:t>
      </w:r>
      <w:r w:rsidR="001D2BF0">
        <w:t>Evaluation</w:t>
      </w:r>
      <w:r>
        <w:t xml:space="preserve"> </w:t>
      </w:r>
      <w:r w:rsidR="00520931">
        <w:t>T</w:t>
      </w:r>
      <w:r>
        <w:t>eam shall include a P</w:t>
      </w:r>
      <w:r w:rsidR="005D3EA2">
        <w:t>-12 practitioner</w:t>
      </w:r>
      <w:r>
        <w:t>,</w:t>
      </w:r>
      <w:r w:rsidR="005D3EA2">
        <w:t xml:space="preserve"> when possible. The State will make recommendations for P-12 practitioners through the </w:t>
      </w:r>
      <w:r>
        <w:t xml:space="preserve">CAEP </w:t>
      </w:r>
      <w:r w:rsidR="00320CE5">
        <w:t>accreditation platform</w:t>
      </w:r>
      <w:r w:rsidR="005D3EA2">
        <w:t>.</w:t>
      </w:r>
    </w:p>
    <w:p w14:paraId="288F534E" w14:textId="77777777" w:rsidR="00C85B37" w:rsidRPr="00F92E9A" w:rsidRDefault="00C85B37" w:rsidP="00912678">
      <w:pPr>
        <w:pStyle w:val="ListParagraph"/>
        <w:ind w:left="432"/>
      </w:pPr>
    </w:p>
    <w:p w14:paraId="48C4E18C" w14:textId="678218FA" w:rsidR="000211D1" w:rsidRDefault="000211D1" w:rsidP="001F68C6">
      <w:pPr>
        <w:pStyle w:val="ListParagraph"/>
        <w:numPr>
          <w:ilvl w:val="1"/>
          <w:numId w:val="11"/>
        </w:numPr>
        <w:ind w:left="432"/>
      </w:pPr>
      <w:r>
        <w:t xml:space="preserve">At the discretion of the State, the State’s teachers’ association(s) may appoint one (1) representative </w:t>
      </w:r>
      <w:r w:rsidR="00BE7904">
        <w:t xml:space="preserve">per association </w:t>
      </w:r>
      <w:r>
        <w:t xml:space="preserve">to observe the </w:t>
      </w:r>
      <w:r w:rsidR="00520931">
        <w:t>Site R</w:t>
      </w:r>
      <w:r>
        <w:t xml:space="preserve">eview. Any expenses associated with the attendance of an observer must be covered by the association(s) or State. Prior to participation, any observer must acknowledge understanding of an agreement to adhere to CAEP’s </w:t>
      </w:r>
      <w:r w:rsidR="005A337F">
        <w:t xml:space="preserve">policies and procedures regarding </w:t>
      </w:r>
      <w:r w:rsidR="00520931">
        <w:lastRenderedPageBreak/>
        <w:t>S</w:t>
      </w:r>
      <w:r w:rsidR="008E50DE">
        <w:t xml:space="preserve">ite </w:t>
      </w:r>
      <w:r w:rsidR="00520931">
        <w:t>R</w:t>
      </w:r>
      <w:r w:rsidR="00036574">
        <w:t xml:space="preserve">eviews </w:t>
      </w:r>
      <w:r w:rsidR="008E50DE">
        <w:t xml:space="preserve">and the CAEP </w:t>
      </w:r>
      <w:r w:rsidR="00434ECE">
        <w:t>c</w:t>
      </w:r>
      <w:r>
        <w:t xml:space="preserve">ode of </w:t>
      </w:r>
      <w:r w:rsidR="00434ECE">
        <w:t>c</w:t>
      </w:r>
      <w:r>
        <w:t xml:space="preserve">onduct, including with regard to confidentiality and conflicts of interest. </w:t>
      </w:r>
    </w:p>
    <w:p w14:paraId="09E45D9F" w14:textId="77777777" w:rsidR="00C85B37" w:rsidRDefault="00C85B37" w:rsidP="00912678">
      <w:pPr>
        <w:pStyle w:val="ListParagraph"/>
        <w:ind w:left="360"/>
      </w:pPr>
    </w:p>
    <w:p w14:paraId="56C80485" w14:textId="783E637C" w:rsidR="006566EF" w:rsidRDefault="000211D1" w:rsidP="001F68C6">
      <w:pPr>
        <w:pStyle w:val="ListParagraph"/>
        <w:numPr>
          <w:ilvl w:val="1"/>
          <w:numId w:val="11"/>
        </w:numPr>
        <w:ind w:left="432"/>
      </w:pPr>
      <w:r>
        <w:t xml:space="preserve">All </w:t>
      </w:r>
      <w:r w:rsidR="001D2BF0">
        <w:t>S</w:t>
      </w:r>
      <w:r>
        <w:t>ite</w:t>
      </w:r>
      <w:r w:rsidR="003F6EF8">
        <w:t xml:space="preserve"> </w:t>
      </w:r>
      <w:r w:rsidR="001D2BF0">
        <w:t>R</w:t>
      </w:r>
      <w:r w:rsidR="003F6EF8">
        <w:t>eview</w:t>
      </w:r>
      <w:r>
        <w:t xml:space="preserve"> activities</w:t>
      </w:r>
      <w:r w:rsidR="00BE7904">
        <w:t xml:space="preserve"> undertaken by a CAEP </w:t>
      </w:r>
      <w:r w:rsidR="001D2BF0">
        <w:t>Evaluation</w:t>
      </w:r>
      <w:r w:rsidR="00BE7904">
        <w:t xml:space="preserve"> </w:t>
      </w:r>
      <w:r w:rsidR="00520931">
        <w:t>T</w:t>
      </w:r>
      <w:r w:rsidR="00BE7904">
        <w:t>eam</w:t>
      </w:r>
      <w:r>
        <w:t xml:space="preserve"> will be conducted in accordance with </w:t>
      </w:r>
      <w:r w:rsidR="001D2BF0">
        <w:t xml:space="preserve">CAEP </w:t>
      </w:r>
      <w:r>
        <w:t>policies and procedures.</w:t>
      </w:r>
    </w:p>
    <w:p w14:paraId="5093308E" w14:textId="77777777" w:rsidR="00C85B37" w:rsidRDefault="00C85B37" w:rsidP="00912678">
      <w:pPr>
        <w:pStyle w:val="ListParagraph"/>
        <w:ind w:left="360"/>
      </w:pPr>
    </w:p>
    <w:p w14:paraId="3C79714E" w14:textId="31CF44FA" w:rsidR="006709DB" w:rsidRDefault="008E50DE" w:rsidP="001F68C6">
      <w:pPr>
        <w:pStyle w:val="ListParagraph"/>
        <w:numPr>
          <w:ilvl w:val="1"/>
          <w:numId w:val="11"/>
        </w:numPr>
        <w:ind w:left="432"/>
      </w:pPr>
      <w:r>
        <w:t xml:space="preserve">CAEP </w:t>
      </w:r>
      <w:r w:rsidR="00065217">
        <w:t xml:space="preserve">is not responsible for </w:t>
      </w:r>
      <w:r w:rsidR="00520931">
        <w:t>S</w:t>
      </w:r>
      <w:r w:rsidR="00065217">
        <w:t xml:space="preserve">ite </w:t>
      </w:r>
      <w:r w:rsidR="00520931">
        <w:t>R</w:t>
      </w:r>
      <w:r w:rsidR="003F6EF8">
        <w:t>eview</w:t>
      </w:r>
      <w:r w:rsidR="00065217">
        <w:t xml:space="preserve"> expenses for state-assigned personnel. </w:t>
      </w:r>
    </w:p>
    <w:p w14:paraId="28D77C5F" w14:textId="77777777" w:rsidR="006709DB" w:rsidRPr="00CA7581" w:rsidRDefault="006709DB" w:rsidP="00912678">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2"/>
        <w:rPr>
          <w:rFonts w:eastAsia="Times New Roman" w:cs="Times New Roman"/>
          <w:color w:val="000000" w:themeColor="text1"/>
          <w:bdr w:val="none" w:sz="0" w:space="0" w:color="auto"/>
        </w:rPr>
      </w:pPr>
    </w:p>
    <w:p w14:paraId="49A2D888" w14:textId="7178AE97" w:rsidR="006C5C42" w:rsidRPr="00AF155A" w:rsidRDefault="006709DB" w:rsidP="000C2E71">
      <w:pPr>
        <w:pStyle w:val="Body"/>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hanging="522"/>
        <w:rPr>
          <w:rFonts w:eastAsia="Times New Roman" w:cs="Times New Roman"/>
          <w:color w:val="666666"/>
        </w:rPr>
      </w:pPr>
      <w:r w:rsidRPr="00CA7581">
        <w:rPr>
          <w:rFonts w:eastAsia="Times New Roman" w:cs="Times New Roman"/>
          <w:color w:val="000000" w:themeColor="text1"/>
          <w:bdr w:val="none" w:sz="0" w:space="0" w:color="auto"/>
        </w:rPr>
        <w:t>An EPP</w:t>
      </w:r>
      <w:r>
        <w:rPr>
          <w:rFonts w:eastAsia="Times New Roman" w:cs="Times New Roman"/>
          <w:color w:val="000000" w:themeColor="text1"/>
          <w:bdr w:val="none" w:sz="0" w:space="0" w:color="auto"/>
        </w:rPr>
        <w:t xml:space="preserve"> that is subject to the jurisdiction of </w:t>
      </w:r>
      <w:r w:rsidR="001D2BF0">
        <w:rPr>
          <w:rFonts w:eastAsia="Times New Roman" w:cs="Times New Roman"/>
          <w:color w:val="000000" w:themeColor="text1"/>
          <w:bdr w:val="none" w:sz="0" w:space="0" w:color="auto"/>
        </w:rPr>
        <w:t>the</w:t>
      </w:r>
      <w:r w:rsidR="00323567">
        <w:rPr>
          <w:rFonts w:eastAsia="Times New Roman" w:cs="Times New Roman"/>
          <w:color w:val="000000" w:themeColor="text1"/>
          <w:bdr w:val="none" w:sz="0" w:space="0" w:color="auto"/>
        </w:rPr>
        <w:t xml:space="preserve"> </w:t>
      </w:r>
      <w:r>
        <w:rPr>
          <w:rFonts w:eastAsia="Times New Roman" w:cs="Times New Roman"/>
          <w:color w:val="000000" w:themeColor="text1"/>
          <w:bdr w:val="none" w:sz="0" w:space="0" w:color="auto"/>
        </w:rPr>
        <w:t>State</w:t>
      </w:r>
      <w:r w:rsidRPr="00CA7581">
        <w:rPr>
          <w:rFonts w:eastAsia="Times New Roman" w:cs="Times New Roman"/>
          <w:color w:val="000000" w:themeColor="text1"/>
          <w:bdr w:val="none" w:sz="0" w:space="0" w:color="auto"/>
        </w:rPr>
        <w:t xml:space="preserve"> may choose from among any of the following program review options</w:t>
      </w:r>
      <w:r>
        <w:rPr>
          <w:rFonts w:eastAsia="Times New Roman" w:cs="Times New Roman"/>
          <w:color w:val="000000" w:themeColor="text1"/>
          <w:bdr w:val="none" w:sz="0" w:space="0" w:color="auto"/>
        </w:rPr>
        <w:t xml:space="preserve"> for </w:t>
      </w:r>
      <w:r w:rsidR="00CC1F55">
        <w:rPr>
          <w:rFonts w:eastAsia="Times New Roman" w:cs="Times New Roman"/>
          <w:color w:val="000000" w:themeColor="text1"/>
          <w:bdr w:val="none" w:sz="0" w:space="0" w:color="auto"/>
        </w:rPr>
        <w:t xml:space="preserve">CAEP </w:t>
      </w:r>
      <w:r w:rsidR="001D2BF0">
        <w:rPr>
          <w:rFonts w:eastAsia="Times New Roman" w:cs="Times New Roman"/>
          <w:color w:val="000000" w:themeColor="text1"/>
          <w:bdr w:val="none" w:sz="0" w:space="0" w:color="auto"/>
        </w:rPr>
        <w:t>a</w:t>
      </w:r>
      <w:r w:rsidR="00CC1F55">
        <w:rPr>
          <w:rFonts w:eastAsia="Times New Roman" w:cs="Times New Roman"/>
          <w:color w:val="000000" w:themeColor="text1"/>
          <w:bdr w:val="none" w:sz="0" w:space="0" w:color="auto"/>
        </w:rPr>
        <w:t>ccreditation</w:t>
      </w:r>
      <w:r w:rsidRPr="00CA7581">
        <w:rPr>
          <w:rFonts w:eastAsia="Times New Roman" w:cs="Times New Roman"/>
          <w:color w:val="000000" w:themeColor="text1"/>
          <w:bdr w:val="none" w:sz="0" w:space="0" w:color="auto"/>
        </w:rPr>
        <w:t xml:space="preserve">: </w:t>
      </w:r>
    </w:p>
    <w:p w14:paraId="63D903AE" w14:textId="77777777" w:rsidR="00434ECE" w:rsidRPr="006C5C42" w:rsidRDefault="00434ECE" w:rsidP="00616E8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cs="Times New Roman"/>
          <w:color w:val="666666"/>
        </w:rPr>
      </w:pPr>
    </w:p>
    <w:p w14:paraId="1926E887" w14:textId="3F222CA1" w:rsidR="00434ECE" w:rsidRPr="006C5C42" w:rsidRDefault="230EC9E1" w:rsidP="4D693CCD">
      <w:pPr>
        <w:pStyle w:val="Body"/>
        <w:widowControl w:val="0"/>
        <w:numPr>
          <w:ilvl w:val="2"/>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cs="Times New Roman"/>
          <w:color w:val="000000" w:themeColor="text1"/>
        </w:rPr>
      </w:pPr>
      <w:r w:rsidRPr="39AA5BB9">
        <w:rPr>
          <w:b/>
          <w:bCs/>
        </w:rPr>
        <w:t>Specialty Program Review with National Recognition</w:t>
      </w:r>
      <w:r>
        <w:t>.</w:t>
      </w:r>
      <w:r w:rsidRPr="39AA5BB9">
        <w:rPr>
          <w:b/>
          <w:bCs/>
        </w:rPr>
        <w:t xml:space="preserve"> </w:t>
      </w:r>
      <w:r w:rsidR="2FB82B23">
        <w:t xml:space="preserve">The goal of the specialized professional association (SPA) Program Review with National Recognition is to align specialty licensure area data with national standards developed by SPAs in order to receive national recognition at the program level. The Evaluation Team will consider evidence that the EPP presents as gathered from the National Recognition decision-making process and made available in SPA program level reports to meet the sufficiency criteria related to CAEP Standard </w:t>
      </w:r>
      <w:r w:rsidR="3CE1FC7B">
        <w:t>R</w:t>
      </w:r>
      <w:r w:rsidR="2FB82B23">
        <w:t xml:space="preserve">1, Component R1.2 (Initial) and/or Standard </w:t>
      </w:r>
      <w:r w:rsidR="52A8A361">
        <w:t>R</w:t>
      </w:r>
      <w:r w:rsidR="2FB82B23">
        <w:t xml:space="preserve">A.1, Component RA1.2 (Advanced). </w:t>
      </w:r>
    </w:p>
    <w:p w14:paraId="65E2FD21" w14:textId="286D88F5" w:rsidR="00434ECE" w:rsidRPr="006C5C42" w:rsidRDefault="00434ECE" w:rsidP="4D693CC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b/>
          <w:bCs/>
          <w:color w:val="000000" w:themeColor="text1"/>
        </w:rPr>
      </w:pPr>
    </w:p>
    <w:p w14:paraId="594D339A" w14:textId="236110A2" w:rsidR="00C85B37" w:rsidRPr="00F92E9A" w:rsidRDefault="230EC9E1" w:rsidP="33BA7FF6">
      <w:pPr>
        <w:pStyle w:val="Body"/>
        <w:widowControl w:val="0"/>
        <w:numPr>
          <w:ilvl w:val="2"/>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cs="Times New Roman"/>
          <w:color w:val="000000" w:themeColor="text1"/>
        </w:rPr>
      </w:pPr>
      <w:r w:rsidRPr="39AA5BB9">
        <w:rPr>
          <w:b/>
          <w:bCs/>
        </w:rPr>
        <w:t>State Review by State Authority</w:t>
      </w:r>
      <w:r>
        <w:t xml:space="preserve">. The State conducts program reviews for purposes of State approval and to inform CAEP </w:t>
      </w:r>
      <w:r w:rsidR="001D2BF0">
        <w:t>a</w:t>
      </w:r>
      <w:r>
        <w:t xml:space="preserve">ccreditation. An EPP </w:t>
      </w:r>
      <w:r w:rsidR="00520931">
        <w:t>undergoing</w:t>
      </w:r>
      <w:r>
        <w:t xml:space="preserve"> the State Review option will follow State guidelines. The State provides forms and instructions on how to meet all State standards for licensure/certificate program approval. Upon an EPP’s completion of the State authority forms, trained reviewers are selected and assigned within appropriate content areas. Reviewers make recommendations for further action and/or approval. The State makes the final decision on the approval of any program. </w:t>
      </w:r>
      <w:r w:rsidR="1C448CAB">
        <w:t xml:space="preserve">The CAEP Evaluation Team will consider evidence that the EPP presents as gathered from the State Review process to meet the sufficiency criteria related to CAEP Standard </w:t>
      </w:r>
      <w:r w:rsidR="417E785F">
        <w:t>R</w:t>
      </w:r>
      <w:r w:rsidR="1C448CAB">
        <w:t>1, Component R</w:t>
      </w:r>
      <w:r w:rsidR="67EB5507">
        <w:t>A</w:t>
      </w:r>
      <w:r w:rsidR="1C448CAB">
        <w:t>1.2 (Initial) and/or Standard RA1, Component RA1.</w:t>
      </w:r>
      <w:r w:rsidR="00D34634">
        <w:t>2</w:t>
      </w:r>
      <w:r w:rsidR="1C448CAB">
        <w:t xml:space="preserve"> (Advanced).</w:t>
      </w:r>
    </w:p>
    <w:p w14:paraId="0DB3BA3F" w14:textId="6137CA15" w:rsidR="00C85B37" w:rsidRPr="00F92E9A" w:rsidRDefault="00C85B37" w:rsidP="33BA7FF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color w:val="000000" w:themeColor="text1"/>
        </w:rPr>
      </w:pPr>
    </w:p>
    <w:p w14:paraId="41A2CFC3" w14:textId="5AD34481" w:rsidR="230EC9E1" w:rsidRDefault="22A41F22" w:rsidP="2B4E49E5">
      <w:pPr>
        <w:pStyle w:val="Body"/>
        <w:numPr>
          <w:ilvl w:val="2"/>
          <w:numId w:val="11"/>
        </w:numPr>
        <w:shd w:val="clear" w:color="auto" w:fill="FFFFFF" w:themeFill="background1"/>
        <w:rPr>
          <w:rFonts w:eastAsia="Times New Roman" w:cs="Times New Roman"/>
          <w:b/>
          <w:bCs/>
          <w:color w:val="000000" w:themeColor="text1"/>
        </w:rPr>
      </w:pPr>
      <w:r w:rsidRPr="39AA5BB9">
        <w:rPr>
          <w:rFonts w:eastAsia="Times New Roman" w:cs="Times New Roman"/>
          <w:b/>
          <w:bCs/>
        </w:rPr>
        <w:t>CAEP Evidence Review of Standard 1</w:t>
      </w:r>
      <w:r w:rsidR="008C6C1E" w:rsidRPr="39AA5BB9">
        <w:rPr>
          <w:rFonts w:eastAsia="Times New Roman" w:cs="Times New Roman"/>
          <w:b/>
          <w:bCs/>
        </w:rPr>
        <w:t>/A.1</w:t>
      </w:r>
      <w:r w:rsidRPr="39AA5BB9">
        <w:rPr>
          <w:rFonts w:eastAsia="Times New Roman" w:cs="Times New Roman"/>
          <w:b/>
          <w:bCs/>
        </w:rPr>
        <w:t>.</w:t>
      </w:r>
      <w:r w:rsidRPr="39AA5BB9">
        <w:rPr>
          <w:rFonts w:eastAsia="Times New Roman" w:cs="Times New Roman"/>
          <w:color w:val="000000" w:themeColor="text1"/>
        </w:rPr>
        <w:t xml:space="preserve"> </w:t>
      </w:r>
      <w:r w:rsidR="744C2608" w:rsidRPr="39AA5BB9">
        <w:rPr>
          <w:rFonts w:eastAsia="Times New Roman" w:cs="Times New Roman"/>
          <w:color w:val="000000" w:themeColor="text1"/>
        </w:rPr>
        <w:t>Evidence for the CAEP Evidence Review of Standard 1</w:t>
      </w:r>
      <w:r w:rsidR="008C6C1E" w:rsidRPr="39AA5BB9">
        <w:rPr>
          <w:rFonts w:eastAsia="Times New Roman" w:cs="Times New Roman"/>
          <w:color w:val="000000" w:themeColor="text1"/>
        </w:rPr>
        <w:t>/A.1</w:t>
      </w:r>
      <w:r w:rsidR="744C2608" w:rsidRPr="39AA5BB9">
        <w:rPr>
          <w:rFonts w:eastAsia="Times New Roman" w:cs="Times New Roman"/>
          <w:color w:val="000000" w:themeColor="text1"/>
        </w:rPr>
        <w:t xml:space="preserve"> process is developed through the analysis of an EPP’s outcome assessment data aligned to specialty licensure area standards delineated in CAEP Standard </w:t>
      </w:r>
      <w:r w:rsidR="1403BE30" w:rsidRPr="39AA5BB9">
        <w:rPr>
          <w:rFonts w:eastAsia="Times New Roman" w:cs="Times New Roman"/>
          <w:color w:val="000000" w:themeColor="text1"/>
        </w:rPr>
        <w:t>R</w:t>
      </w:r>
      <w:r w:rsidR="744C2608" w:rsidRPr="39AA5BB9">
        <w:rPr>
          <w:rFonts w:eastAsia="Times New Roman" w:cs="Times New Roman"/>
          <w:color w:val="000000" w:themeColor="text1"/>
        </w:rPr>
        <w:t>1, Component R</w:t>
      </w:r>
      <w:r w:rsidR="54767C06" w:rsidRPr="39AA5BB9">
        <w:rPr>
          <w:rFonts w:eastAsia="Times New Roman" w:cs="Times New Roman"/>
          <w:color w:val="000000" w:themeColor="text1"/>
        </w:rPr>
        <w:t>A</w:t>
      </w:r>
      <w:r w:rsidR="744C2608" w:rsidRPr="39AA5BB9">
        <w:rPr>
          <w:rFonts w:eastAsia="Times New Roman" w:cs="Times New Roman"/>
          <w:color w:val="000000" w:themeColor="text1"/>
        </w:rPr>
        <w:t xml:space="preserve">1.2 (Initial) and/or Standard A1, Component </w:t>
      </w:r>
      <w:r w:rsidR="00D34634" w:rsidRPr="39AA5BB9">
        <w:rPr>
          <w:rFonts w:eastAsia="Times New Roman" w:cs="Times New Roman"/>
          <w:color w:val="000000" w:themeColor="text1"/>
        </w:rPr>
        <w:t>R</w:t>
      </w:r>
      <w:r w:rsidR="744C2608" w:rsidRPr="39AA5BB9">
        <w:rPr>
          <w:rFonts w:eastAsia="Times New Roman" w:cs="Times New Roman"/>
          <w:color w:val="000000" w:themeColor="text1"/>
        </w:rPr>
        <w:t xml:space="preserve">A1.2 (Advanced). </w:t>
      </w:r>
      <w:r w:rsidR="19E7F2C9" w:rsidRPr="39AA5BB9">
        <w:rPr>
          <w:rFonts w:eastAsia="Times New Roman" w:cs="Times New Roman"/>
        </w:rPr>
        <w:t>Evidence from the EPP’s internal assessment may be used by the state to determine its alignment with state required standards in the respective area(s) of licensure to demonstrate candidates’ ability to apply content and pedagogical knowledge in the area of licensure</w:t>
      </w:r>
      <w:r w:rsidR="2D6056F7" w:rsidRPr="39AA5BB9">
        <w:rPr>
          <w:rFonts w:eastAsia="Times New Roman" w:cs="Times New Roman"/>
        </w:rPr>
        <w:t>.</w:t>
      </w:r>
    </w:p>
    <w:p w14:paraId="2FC90DA1" w14:textId="77777777" w:rsidR="003B246E" w:rsidRDefault="003B246E" w:rsidP="003B246E">
      <w:pPr>
        <w:pStyle w:val="ListParagraph"/>
        <w:ind w:left="360"/>
        <w:rPr>
          <w:rFonts w:cs="Times New Roman"/>
        </w:rPr>
      </w:pPr>
    </w:p>
    <w:p w14:paraId="4F1C9CD9" w14:textId="350A54E1" w:rsidR="003B246E" w:rsidRDefault="003B246E" w:rsidP="000C2E71">
      <w:pPr>
        <w:pStyle w:val="ListParagraph"/>
        <w:numPr>
          <w:ilvl w:val="1"/>
          <w:numId w:val="11"/>
        </w:numPr>
        <w:ind w:left="540" w:hanging="540"/>
      </w:pPr>
      <w:r>
        <w:t xml:space="preserve">The specific timeline established for the review of an EPP, as well </w:t>
      </w:r>
      <w:r w:rsidR="008C6C1E">
        <w:t xml:space="preserve">as </w:t>
      </w:r>
      <w:r>
        <w:t xml:space="preserve">CAEP’s consideration of any request for an extension, will be decided by CAEP </w:t>
      </w:r>
      <w:r w:rsidR="00913031">
        <w:t>or</w:t>
      </w:r>
      <w:r>
        <w:t xml:space="preserve"> the Accreditation Council, as appropriate, on a </w:t>
      </w:r>
      <w:r w:rsidR="6A55FD3B">
        <w:t>case-by-case</w:t>
      </w:r>
      <w:r>
        <w:t xml:space="preserve"> basis and in accordance with CAEP </w:t>
      </w:r>
      <w:r w:rsidR="00913031">
        <w:t>policies</w:t>
      </w:r>
      <w:r>
        <w:t>.</w:t>
      </w:r>
    </w:p>
    <w:p w14:paraId="70D80F59" w14:textId="77777777" w:rsidR="00C85B37" w:rsidRDefault="00C85B37" w:rsidP="00912678">
      <w:pPr>
        <w:pStyle w:val="ListParagraph"/>
        <w:ind w:left="360"/>
        <w:rPr>
          <w:rFonts w:cs="Times New Roman"/>
        </w:rPr>
      </w:pPr>
    </w:p>
    <w:p w14:paraId="2449E6FE" w14:textId="635FF367" w:rsidR="00402170" w:rsidRDefault="00402170" w:rsidP="000C2E71">
      <w:pPr>
        <w:pStyle w:val="Default"/>
        <w:numPr>
          <w:ilvl w:val="1"/>
          <w:numId w:val="11"/>
        </w:numPr>
        <w:ind w:left="540" w:hanging="540"/>
        <w:rPr>
          <w:rFonts w:ascii="Times New Roman" w:hAnsi="Times New Roman" w:cs="Times New Roman"/>
        </w:rPr>
      </w:pPr>
      <w:r w:rsidRPr="711975AC">
        <w:rPr>
          <w:rFonts w:ascii="Times New Roman" w:hAnsi="Times New Roman" w:cs="Times New Roman"/>
        </w:rPr>
        <w:t xml:space="preserve">Once granted full </w:t>
      </w:r>
      <w:r w:rsidR="00913031">
        <w:rPr>
          <w:rFonts w:ascii="Times New Roman" w:hAnsi="Times New Roman" w:cs="Times New Roman"/>
        </w:rPr>
        <w:t>a</w:t>
      </w:r>
      <w:r w:rsidR="00CC1F55" w:rsidRPr="711975AC">
        <w:rPr>
          <w:rFonts w:ascii="Times New Roman" w:hAnsi="Times New Roman" w:cs="Times New Roman"/>
        </w:rPr>
        <w:t>ccreditation</w:t>
      </w:r>
      <w:r w:rsidR="00913031">
        <w:rPr>
          <w:rFonts w:ascii="Times New Roman" w:hAnsi="Times New Roman" w:cs="Times New Roman"/>
        </w:rPr>
        <w:t xml:space="preserve"> by CAEP</w:t>
      </w:r>
      <w:r w:rsidRPr="711975AC">
        <w:rPr>
          <w:rFonts w:ascii="Times New Roman" w:hAnsi="Times New Roman" w:cs="Times New Roman"/>
        </w:rPr>
        <w:t xml:space="preserve">, an EPP’s term of accreditation shall be seven (7) years. </w:t>
      </w:r>
      <w:r w:rsidR="0036709A" w:rsidRPr="711975AC">
        <w:rPr>
          <w:rFonts w:ascii="Times New Roman" w:hAnsi="Times New Roman" w:cs="Times New Roman"/>
        </w:rPr>
        <w:t>Shorter terms are granted</w:t>
      </w:r>
      <w:r w:rsidR="00616E8E" w:rsidRPr="711975AC">
        <w:rPr>
          <w:rFonts w:ascii="Times New Roman" w:hAnsi="Times New Roman" w:cs="Times New Roman"/>
        </w:rPr>
        <w:t xml:space="preserve"> with a decision of </w:t>
      </w:r>
      <w:r w:rsidR="00913031">
        <w:rPr>
          <w:rFonts w:ascii="Times New Roman" w:hAnsi="Times New Roman" w:cs="Times New Roman"/>
        </w:rPr>
        <w:t>A</w:t>
      </w:r>
      <w:r w:rsidR="00616E8E" w:rsidRPr="711975AC">
        <w:rPr>
          <w:rFonts w:ascii="Times New Roman" w:hAnsi="Times New Roman" w:cs="Times New Roman"/>
        </w:rPr>
        <w:t xml:space="preserve">ccreditation with </w:t>
      </w:r>
      <w:r w:rsidR="00913031">
        <w:rPr>
          <w:rFonts w:ascii="Times New Roman" w:hAnsi="Times New Roman" w:cs="Times New Roman"/>
        </w:rPr>
        <w:t>S</w:t>
      </w:r>
      <w:r w:rsidR="00616E8E" w:rsidRPr="711975AC">
        <w:rPr>
          <w:rFonts w:ascii="Times New Roman" w:hAnsi="Times New Roman" w:cs="Times New Roman"/>
        </w:rPr>
        <w:t>tipulations or</w:t>
      </w:r>
      <w:r w:rsidR="0036709A" w:rsidRPr="711975AC">
        <w:rPr>
          <w:rFonts w:ascii="Times New Roman" w:hAnsi="Times New Roman" w:cs="Times New Roman"/>
        </w:rPr>
        <w:t xml:space="preserve"> </w:t>
      </w:r>
      <w:r w:rsidR="00913031">
        <w:rPr>
          <w:rFonts w:ascii="Times New Roman" w:hAnsi="Times New Roman" w:cs="Times New Roman"/>
        </w:rPr>
        <w:t>P</w:t>
      </w:r>
      <w:r w:rsidR="00616E8E" w:rsidRPr="711975AC">
        <w:rPr>
          <w:rFonts w:ascii="Times New Roman" w:hAnsi="Times New Roman" w:cs="Times New Roman"/>
        </w:rPr>
        <w:t xml:space="preserve">robationary </w:t>
      </w:r>
      <w:r w:rsidR="00913031">
        <w:rPr>
          <w:rFonts w:ascii="Times New Roman" w:hAnsi="Times New Roman" w:cs="Times New Roman"/>
        </w:rPr>
        <w:t>A</w:t>
      </w:r>
      <w:r w:rsidR="00616E8E" w:rsidRPr="711975AC">
        <w:rPr>
          <w:rFonts w:ascii="Times New Roman" w:hAnsi="Times New Roman" w:cs="Times New Roman"/>
        </w:rPr>
        <w:t>ccreditation</w:t>
      </w:r>
      <w:r w:rsidR="0036709A" w:rsidRPr="711975AC">
        <w:rPr>
          <w:rFonts w:ascii="Times New Roman" w:hAnsi="Times New Roman" w:cs="Times New Roman"/>
        </w:rPr>
        <w:t xml:space="preserve">. </w:t>
      </w:r>
      <w:r w:rsidRPr="711975AC">
        <w:rPr>
          <w:rFonts w:ascii="Times New Roman" w:hAnsi="Times New Roman" w:cs="Times New Roman"/>
        </w:rPr>
        <w:t xml:space="preserve">Throughout </w:t>
      </w:r>
      <w:r w:rsidR="0036709A" w:rsidRPr="711975AC">
        <w:rPr>
          <w:rFonts w:ascii="Times New Roman" w:hAnsi="Times New Roman" w:cs="Times New Roman"/>
        </w:rPr>
        <w:t xml:space="preserve">its </w:t>
      </w:r>
      <w:r w:rsidRPr="711975AC">
        <w:rPr>
          <w:rFonts w:ascii="Times New Roman" w:hAnsi="Times New Roman" w:cs="Times New Roman"/>
        </w:rPr>
        <w:t xml:space="preserve">term, </w:t>
      </w:r>
      <w:r w:rsidR="002B1B9F" w:rsidRPr="711975AC">
        <w:rPr>
          <w:rFonts w:ascii="Times New Roman" w:hAnsi="Times New Roman" w:cs="Times New Roman"/>
        </w:rPr>
        <w:t>to</w:t>
      </w:r>
      <w:r w:rsidRPr="711975AC">
        <w:rPr>
          <w:rFonts w:ascii="Times New Roman" w:hAnsi="Times New Roman" w:cs="Times New Roman"/>
        </w:rPr>
        <w:t xml:space="preserve"> maintain accreditation, an EPP must comply with CAEP </w:t>
      </w:r>
      <w:r w:rsidR="00913031">
        <w:rPr>
          <w:rFonts w:ascii="Times New Roman" w:hAnsi="Times New Roman" w:cs="Times New Roman"/>
        </w:rPr>
        <w:lastRenderedPageBreak/>
        <w:t>polic</w:t>
      </w:r>
      <w:r w:rsidR="00E916A2">
        <w:rPr>
          <w:rFonts w:ascii="Times New Roman" w:hAnsi="Times New Roman" w:cs="Times New Roman"/>
        </w:rPr>
        <w:t>ies</w:t>
      </w:r>
      <w:r w:rsidRPr="711975AC">
        <w:rPr>
          <w:rFonts w:ascii="Times New Roman" w:hAnsi="Times New Roman" w:cs="Times New Roman"/>
        </w:rPr>
        <w:t>, including policies regarding payment of annual dues and the submission of annual reports.</w:t>
      </w:r>
    </w:p>
    <w:p w14:paraId="176684A6" w14:textId="77777777" w:rsidR="0036709A" w:rsidRDefault="0036709A" w:rsidP="00616E8E">
      <w:pPr>
        <w:pStyle w:val="Default"/>
        <w:rPr>
          <w:rFonts w:ascii="Times New Roman" w:hAnsi="Times New Roman" w:cs="Times New Roman"/>
        </w:rPr>
      </w:pPr>
    </w:p>
    <w:p w14:paraId="4C66CEDB" w14:textId="3AD6DF8A" w:rsidR="001F4FB9" w:rsidRDefault="001F4FB9" w:rsidP="000C2E71">
      <w:pPr>
        <w:pStyle w:val="ListParagraph"/>
        <w:widowControl w:val="0"/>
        <w:numPr>
          <w:ilvl w:val="1"/>
          <w:numId w:val="11"/>
        </w:numPr>
        <w:ind w:left="540" w:hanging="540"/>
      </w:pPr>
      <w:r>
        <w:t xml:space="preserve">An EPP for which the Accreditation Council issues a decision to deny or revoke accreditation </w:t>
      </w:r>
      <w:r w:rsidR="00186191">
        <w:t xml:space="preserve">shall </w:t>
      </w:r>
      <w:r>
        <w:t xml:space="preserve">have a right to petition </w:t>
      </w:r>
      <w:r w:rsidR="0036709A">
        <w:t xml:space="preserve">for </w:t>
      </w:r>
      <w:r>
        <w:t xml:space="preserve">an appeal subject to </w:t>
      </w:r>
      <w:r w:rsidR="00913031">
        <w:t xml:space="preserve">CAEP’s </w:t>
      </w:r>
      <w:r w:rsidR="00551B9C">
        <w:t>Appeals Policy</w:t>
      </w:r>
      <w:r>
        <w:t xml:space="preserve">  </w:t>
      </w:r>
    </w:p>
    <w:p w14:paraId="555E0632" w14:textId="77777777" w:rsidR="00C85B37" w:rsidRPr="00F92E9A" w:rsidRDefault="00C85B37" w:rsidP="000C2E71">
      <w:pPr>
        <w:pStyle w:val="ListParagraph"/>
        <w:widowControl w:val="0"/>
        <w:ind w:left="540" w:hanging="540"/>
      </w:pPr>
    </w:p>
    <w:p w14:paraId="5ACEC0AA" w14:textId="1A6F1668" w:rsidR="00601BDF" w:rsidRDefault="7BB6C7B1" w:rsidP="000C2E71">
      <w:pPr>
        <w:pStyle w:val="ListParagraph"/>
        <w:widowControl w:val="0"/>
        <w:numPr>
          <w:ilvl w:val="1"/>
          <w:numId w:val="11"/>
        </w:numPr>
        <w:ind w:left="540" w:hanging="540"/>
      </w:pPr>
      <w:r>
        <w:t xml:space="preserve">The State </w:t>
      </w:r>
      <w:r w:rsidR="00601BDF">
        <w:t xml:space="preserve">will provide to CAEP its policy leading to a “Change in State Status.” </w:t>
      </w:r>
      <w:r w:rsidR="551E4A24">
        <w:t>The State</w:t>
      </w:r>
      <w:r w:rsidR="00495B89">
        <w:t xml:space="preserve"> </w:t>
      </w:r>
      <w:r w:rsidR="00601BDF">
        <w:t xml:space="preserve">will notify CAEP within </w:t>
      </w:r>
      <w:r w:rsidR="008D3443">
        <w:t>thirty (</w:t>
      </w:r>
      <w:r w:rsidR="00601BDF">
        <w:t>30</w:t>
      </w:r>
      <w:r w:rsidR="008D3443">
        <w:t>)</w:t>
      </w:r>
      <w:r w:rsidR="00601BDF">
        <w:t xml:space="preserve"> days of action taken when a </w:t>
      </w:r>
      <w:r w:rsidR="008F39AA">
        <w:t>CAEP-</w:t>
      </w:r>
      <w:r w:rsidR="00601BDF">
        <w:t xml:space="preserve">accredited EPP has had a “Change in State Status” as a result of a decision on specialized professional </w:t>
      </w:r>
      <w:r w:rsidR="008F39AA">
        <w:t xml:space="preserve">association (SPA) </w:t>
      </w:r>
      <w:r w:rsidR="00601BDF">
        <w:t>program status by the State.</w:t>
      </w:r>
    </w:p>
    <w:p w14:paraId="18E891CD" w14:textId="77777777" w:rsidR="0036709A" w:rsidRDefault="0036709A" w:rsidP="000C2E71">
      <w:pPr>
        <w:widowControl w:val="0"/>
        <w:ind w:left="540" w:hanging="540"/>
      </w:pPr>
    </w:p>
    <w:p w14:paraId="0DA45C18" w14:textId="4C4F96C7" w:rsidR="003B246E" w:rsidRDefault="003B246E" w:rsidP="000C2E71">
      <w:pPr>
        <w:pStyle w:val="Default"/>
        <w:numPr>
          <w:ilvl w:val="1"/>
          <w:numId w:val="11"/>
        </w:numPr>
        <w:ind w:left="540" w:hanging="540"/>
        <w:rPr>
          <w:rFonts w:ascii="Times New Roman" w:hAnsi="Times New Roman" w:cs="Times New Roman"/>
        </w:rPr>
      </w:pPr>
      <w:r w:rsidRPr="711975AC">
        <w:rPr>
          <w:rFonts w:ascii="Times New Roman" w:eastAsia="Times New Roman" w:hAnsi="Times New Roman" w:cs="Times New Roman"/>
        </w:rPr>
        <w:t>Accreditation-specific terminology and definitions used by CAEP as part of its EPP review and</w:t>
      </w:r>
      <w:r w:rsidRPr="711975AC">
        <w:rPr>
          <w:rFonts w:ascii="Times New Roman" w:hAnsi="Times New Roman" w:cs="Times New Roman"/>
        </w:rPr>
        <w:t xml:space="preserve"> accreditation processes may vary from similar terms and definitions used by the State. Any definitions of key terms and glossaries created by CAEP are available on the CAEP website</w:t>
      </w:r>
      <w:r w:rsidR="008F39AA" w:rsidRPr="711975AC">
        <w:rPr>
          <w:rFonts w:ascii="Times New Roman" w:hAnsi="Times New Roman" w:cs="Times New Roman"/>
        </w:rPr>
        <w:t xml:space="preserve"> [http://caepnet.org/glossary]</w:t>
      </w:r>
      <w:r w:rsidRPr="711975AC">
        <w:rPr>
          <w:rFonts w:ascii="Times New Roman" w:hAnsi="Times New Roman" w:cs="Times New Roman"/>
        </w:rPr>
        <w:t xml:space="preserve">. The State should inquire with CAEP about the definition of any term if there is uncertainty regarding its meaning in the </w:t>
      </w:r>
      <w:r w:rsidR="00CC1F55" w:rsidRPr="711975AC">
        <w:rPr>
          <w:rFonts w:ascii="Times New Roman" w:hAnsi="Times New Roman" w:cs="Times New Roman"/>
        </w:rPr>
        <w:t xml:space="preserve">CAEP </w:t>
      </w:r>
      <w:r w:rsidR="00913031">
        <w:rPr>
          <w:rFonts w:ascii="Times New Roman" w:hAnsi="Times New Roman" w:cs="Times New Roman"/>
        </w:rPr>
        <w:t>a</w:t>
      </w:r>
      <w:r w:rsidR="00CC1F55" w:rsidRPr="711975AC">
        <w:rPr>
          <w:rFonts w:ascii="Times New Roman" w:hAnsi="Times New Roman" w:cs="Times New Roman"/>
        </w:rPr>
        <w:t>ccreditation</w:t>
      </w:r>
      <w:r w:rsidRPr="711975AC">
        <w:rPr>
          <w:rFonts w:ascii="Times New Roman" w:hAnsi="Times New Roman" w:cs="Times New Roman"/>
        </w:rPr>
        <w:t xml:space="preserve"> context.</w:t>
      </w:r>
    </w:p>
    <w:p w14:paraId="6FFA19F8" w14:textId="77777777" w:rsidR="003B246E" w:rsidRPr="00F92E9A" w:rsidRDefault="003B246E" w:rsidP="003B246E">
      <w:pPr>
        <w:widowControl w:val="0"/>
      </w:pPr>
    </w:p>
    <w:p w14:paraId="07384567" w14:textId="15B47ECF" w:rsidR="006566EF" w:rsidRPr="00F92E9A" w:rsidRDefault="006566EF" w:rsidP="001A4DC3">
      <w:pPr>
        <w:rPr>
          <w:color w:val="000000"/>
          <w:u w:color="000000"/>
        </w:rPr>
      </w:pPr>
    </w:p>
    <w:p w14:paraId="34B9D471" w14:textId="36D923CB" w:rsidR="00E86CDC" w:rsidRPr="00E41EBD" w:rsidRDefault="00E86CDC" w:rsidP="001F68C6">
      <w:pPr>
        <w:pStyle w:val="paragraph"/>
        <w:numPr>
          <w:ilvl w:val="0"/>
          <w:numId w:val="11"/>
        </w:numPr>
        <w:spacing w:before="0" w:beforeAutospacing="0" w:after="0" w:afterAutospacing="0"/>
        <w:textAlignment w:val="baseline"/>
        <w:rPr>
          <w:rStyle w:val="normaltextrun"/>
          <w:b/>
        </w:rPr>
      </w:pPr>
      <w:r w:rsidRPr="00E41EBD">
        <w:rPr>
          <w:rStyle w:val="normaltextrun"/>
          <w:b/>
        </w:rPr>
        <w:t xml:space="preserve">Opportunities for State Input </w:t>
      </w:r>
    </w:p>
    <w:p w14:paraId="7C370F6D" w14:textId="3CBAFCD6" w:rsidR="00E86CDC" w:rsidRPr="00F92E9A" w:rsidRDefault="00E86CDC" w:rsidP="001A4DC3">
      <w:pPr>
        <w:pStyle w:val="paragraph"/>
        <w:spacing w:before="0" w:beforeAutospacing="0" w:after="0" w:afterAutospacing="0"/>
        <w:textAlignment w:val="baseline"/>
        <w:rPr>
          <w:rStyle w:val="normaltextrun"/>
        </w:rPr>
      </w:pPr>
    </w:p>
    <w:p w14:paraId="6C826539" w14:textId="55164D8B" w:rsidR="00E86CDC" w:rsidRPr="00F92E9A" w:rsidRDefault="00E86CDC" w:rsidP="00E41EBD">
      <w:pPr>
        <w:pStyle w:val="paragraph"/>
        <w:spacing w:before="0" w:beforeAutospacing="0" w:after="0" w:afterAutospacing="0"/>
        <w:ind w:left="360"/>
        <w:textAlignment w:val="baseline"/>
        <w:rPr>
          <w:rStyle w:val="normaltextrun"/>
        </w:rPr>
      </w:pPr>
      <w:r w:rsidRPr="00F92E9A">
        <w:rPr>
          <w:rStyle w:val="normaltextrun"/>
        </w:rPr>
        <w:t xml:space="preserve">The </w:t>
      </w:r>
      <w:r w:rsidR="00E41EBD">
        <w:rPr>
          <w:rStyle w:val="normaltextrun"/>
        </w:rPr>
        <w:t>Parties</w:t>
      </w:r>
      <w:r w:rsidRPr="00F92E9A">
        <w:rPr>
          <w:rStyle w:val="normaltextrun"/>
        </w:rPr>
        <w:t xml:space="preserve"> understand and agree that:</w:t>
      </w:r>
    </w:p>
    <w:p w14:paraId="25F121BB" w14:textId="77777777" w:rsidR="00E86CDC" w:rsidRPr="00F92E9A" w:rsidRDefault="00E86CDC" w:rsidP="001A4DC3">
      <w:pPr>
        <w:pStyle w:val="paragraph"/>
        <w:spacing w:before="0" w:beforeAutospacing="0" w:after="0" w:afterAutospacing="0"/>
        <w:textAlignment w:val="baseline"/>
        <w:rPr>
          <w:rStyle w:val="normaltextrun"/>
        </w:rPr>
      </w:pPr>
    </w:p>
    <w:p w14:paraId="108036FB" w14:textId="604A83DA" w:rsidR="00947ADE" w:rsidRDefault="00947ADE" w:rsidP="001F68C6">
      <w:pPr>
        <w:pStyle w:val="ListParagraph"/>
        <w:widowControl w:val="0"/>
        <w:numPr>
          <w:ilvl w:val="1"/>
          <w:numId w:val="11"/>
        </w:numPr>
        <w:ind w:left="432"/>
      </w:pPr>
      <w:r>
        <w:t xml:space="preserve">CAEP </w:t>
      </w:r>
      <w:r w:rsidR="00AD233E">
        <w:t xml:space="preserve">shall </w:t>
      </w:r>
      <w:r>
        <w:t xml:space="preserve">afford </w:t>
      </w:r>
      <w:r w:rsidR="0F896C73">
        <w:t>the State</w:t>
      </w:r>
      <w:r w:rsidR="00495B89">
        <w:t xml:space="preserve"> </w:t>
      </w:r>
      <w:r>
        <w:t xml:space="preserve">multiple opportunities to provide CAEP, </w:t>
      </w:r>
      <w:r w:rsidR="00FA5F58">
        <w:t xml:space="preserve">the </w:t>
      </w:r>
      <w:r w:rsidR="00913031">
        <w:t>Evaluation</w:t>
      </w:r>
      <w:r w:rsidR="00FA5F58">
        <w:t xml:space="preserve"> </w:t>
      </w:r>
      <w:r w:rsidR="00520931">
        <w:t>T</w:t>
      </w:r>
      <w:r w:rsidR="00FA5F58">
        <w:t>eam</w:t>
      </w:r>
      <w:r>
        <w:t>, and members o</w:t>
      </w:r>
      <w:r w:rsidR="008D3443">
        <w:t>f the Accreditation Council with</w:t>
      </w:r>
      <w:r>
        <w:t xml:space="preserve"> any information or data the State deems relevant</w:t>
      </w:r>
      <w:r w:rsidR="00AC138D">
        <w:t xml:space="preserve"> to the accreditation of an EPP, as follows:</w:t>
      </w:r>
    </w:p>
    <w:p w14:paraId="3C2F90B5" w14:textId="17A848DD" w:rsidR="00DA47ED" w:rsidRDefault="00DA47ED" w:rsidP="34420222">
      <w:pPr>
        <w:pStyle w:val="ListParagraph"/>
        <w:ind w:left="792"/>
      </w:pPr>
    </w:p>
    <w:p w14:paraId="5817CE2A" w14:textId="199B33C4" w:rsidR="00E86CDC" w:rsidRDefault="00E86CDC" w:rsidP="001F68C6">
      <w:pPr>
        <w:pStyle w:val="ListParagraph"/>
        <w:widowControl w:val="0"/>
        <w:numPr>
          <w:ilvl w:val="1"/>
          <w:numId w:val="11"/>
        </w:numPr>
        <w:ind w:left="432"/>
      </w:pPr>
      <w:r>
        <w:t>At least sixteen (16) weeks prior</w:t>
      </w:r>
      <w:r w:rsidR="00AC138D">
        <w:t xml:space="preserve"> to any scheduled </w:t>
      </w:r>
      <w:r w:rsidR="00520931">
        <w:t>S</w:t>
      </w:r>
      <w:r w:rsidR="00AC138D">
        <w:t xml:space="preserve">ite </w:t>
      </w:r>
      <w:r w:rsidR="00520931">
        <w:t>R</w:t>
      </w:r>
      <w:r w:rsidR="00036574">
        <w:t>eview</w:t>
      </w:r>
      <w:r>
        <w:t xml:space="preserve">, CAEP </w:t>
      </w:r>
      <w:r w:rsidR="00AD233E">
        <w:t xml:space="preserve">shall </w:t>
      </w:r>
      <w:r>
        <w:t xml:space="preserve">give the State notice of the upcoming </w:t>
      </w:r>
      <w:r w:rsidR="00520931">
        <w:t>S</w:t>
      </w:r>
      <w:r w:rsidR="003F6EF8">
        <w:t xml:space="preserve">ite </w:t>
      </w:r>
      <w:r w:rsidR="00520931">
        <w:t>R</w:t>
      </w:r>
      <w:r w:rsidR="003F6EF8">
        <w:t>eview</w:t>
      </w:r>
      <w:r>
        <w:t xml:space="preserve">. At any </w:t>
      </w:r>
      <w:r w:rsidR="002B1B9F">
        <w:t>time,</w:t>
      </w:r>
      <w:r>
        <w:t xml:space="preserve"> up to six (6) </w:t>
      </w:r>
      <w:r w:rsidR="00AC138D">
        <w:t xml:space="preserve">weeks before the scheduled </w:t>
      </w:r>
      <w:r w:rsidR="00520931">
        <w:t>S</w:t>
      </w:r>
      <w:r w:rsidR="003F6EF8">
        <w:t xml:space="preserve">ite </w:t>
      </w:r>
      <w:r w:rsidR="00520931">
        <w:t>R</w:t>
      </w:r>
      <w:r w:rsidR="003F6EF8">
        <w:t>eview</w:t>
      </w:r>
      <w:r>
        <w:t>,</w:t>
      </w:r>
      <w:r w:rsidR="00947ADE">
        <w:t xml:space="preserve"> the State may provide CAEP with </w:t>
      </w:r>
      <w:r>
        <w:t>comments and information</w:t>
      </w:r>
      <w:r w:rsidR="00947ADE">
        <w:t xml:space="preserve"> on the EPP for consideration by the </w:t>
      </w:r>
      <w:r w:rsidR="00913031">
        <w:t>Evaluation</w:t>
      </w:r>
      <w:r w:rsidR="00947ADE">
        <w:t xml:space="preserve"> </w:t>
      </w:r>
      <w:r w:rsidR="00520931">
        <w:t>T</w:t>
      </w:r>
      <w:r w:rsidR="00947ADE">
        <w:t>eam.</w:t>
      </w:r>
      <w:r>
        <w:t xml:space="preserve"> EPP’s </w:t>
      </w:r>
      <w:r w:rsidR="00AD233E">
        <w:t xml:space="preserve">shall </w:t>
      </w:r>
      <w:r>
        <w:t xml:space="preserve">be given an opportunity to respond to </w:t>
      </w:r>
      <w:r w:rsidR="00AC138D">
        <w:t xml:space="preserve">any such comments prior to the </w:t>
      </w:r>
      <w:r w:rsidR="00520931">
        <w:t>S</w:t>
      </w:r>
      <w:r w:rsidR="00AC138D">
        <w:t xml:space="preserve">ite </w:t>
      </w:r>
      <w:r w:rsidR="00520931">
        <w:t>R</w:t>
      </w:r>
      <w:r w:rsidR="003F6EF8">
        <w:t>eview</w:t>
      </w:r>
      <w:r>
        <w:t>.</w:t>
      </w:r>
    </w:p>
    <w:p w14:paraId="11E343E8" w14:textId="77777777" w:rsidR="00DA47ED" w:rsidRPr="00CA7581" w:rsidRDefault="00DA47ED" w:rsidP="00AC138D">
      <w:pPr>
        <w:pStyle w:val="ListParagraph"/>
        <w:widowControl w:val="0"/>
        <w:ind w:left="1152"/>
      </w:pPr>
    </w:p>
    <w:p w14:paraId="114376FB" w14:textId="4A81C80E" w:rsidR="00947ADE" w:rsidRDefault="00947ADE" w:rsidP="001F68C6">
      <w:pPr>
        <w:pStyle w:val="ListParagraph"/>
        <w:widowControl w:val="0"/>
        <w:numPr>
          <w:ilvl w:val="1"/>
          <w:numId w:val="11"/>
        </w:numPr>
        <w:ind w:left="432"/>
      </w:pPr>
      <w:r>
        <w:t xml:space="preserve">At any time, </w:t>
      </w:r>
      <w:r w:rsidR="16BD071D">
        <w:t>the State</w:t>
      </w:r>
      <w:r>
        <w:t xml:space="preserve"> may file a complaint regarding an EPP with the Accreditation Council for investigation and consideration as part of the</w:t>
      </w:r>
      <w:r w:rsidR="006E2C56">
        <w:t xml:space="preserve"> EPP’s ongoing cycle of </w:t>
      </w:r>
      <w:r w:rsidR="00CC1F55">
        <w:t xml:space="preserve">CAEP </w:t>
      </w:r>
      <w:r w:rsidR="00913031">
        <w:t>a</w:t>
      </w:r>
      <w:r w:rsidR="00CC1F55">
        <w:t>ccreditation</w:t>
      </w:r>
      <w:r w:rsidR="006E2C56">
        <w:t>.</w:t>
      </w:r>
      <w:r w:rsidR="003910E9">
        <w:t xml:space="preserve"> In accordance with </w:t>
      </w:r>
      <w:r w:rsidR="00913031">
        <w:t>CAEP policy</w:t>
      </w:r>
      <w:r w:rsidR="003910E9">
        <w:t>, adverse action may result from any such investigation.</w:t>
      </w:r>
    </w:p>
    <w:p w14:paraId="106374CD" w14:textId="77777777" w:rsidR="006709DB" w:rsidRDefault="006709DB" w:rsidP="00AC138D">
      <w:pPr>
        <w:pStyle w:val="ListParagraph"/>
        <w:ind w:left="1080"/>
      </w:pPr>
    </w:p>
    <w:p w14:paraId="22F050F7" w14:textId="721DB733" w:rsidR="006709DB" w:rsidRPr="00CA7581" w:rsidRDefault="006709DB" w:rsidP="001F68C6">
      <w:pPr>
        <w:pStyle w:val="ListParagraph"/>
        <w:widowControl w:val="0"/>
        <w:numPr>
          <w:ilvl w:val="1"/>
          <w:numId w:val="11"/>
        </w:numPr>
        <w:ind w:left="432"/>
      </w:pPr>
      <w:r>
        <w:t>In the ev</w:t>
      </w:r>
      <w:r w:rsidR="00C36624">
        <w:t xml:space="preserve">ent an EPP within </w:t>
      </w:r>
      <w:r w:rsidR="4348353A">
        <w:t>the State</w:t>
      </w:r>
      <w:r w:rsidR="00C36624">
        <w:t xml:space="preserve"> petitions for the appeal of an adverse action of the Accreditation Council, CAEP </w:t>
      </w:r>
      <w:r w:rsidR="00AD233E">
        <w:t xml:space="preserve">shall </w:t>
      </w:r>
      <w:r w:rsidR="00C36624">
        <w:t xml:space="preserve">notify the </w:t>
      </w:r>
      <w:r w:rsidR="00CC1F55">
        <w:t>S</w:t>
      </w:r>
      <w:r w:rsidR="00C36624">
        <w:t xml:space="preserve">tate that such petition has been received. Any notification of a decision made by an </w:t>
      </w:r>
      <w:r w:rsidR="00BE2457">
        <w:t xml:space="preserve">ad-hoc </w:t>
      </w:r>
      <w:r w:rsidR="00C36624">
        <w:t xml:space="preserve">appeal panel will be made in accordance with </w:t>
      </w:r>
      <w:r w:rsidR="00AC138D">
        <w:t xml:space="preserve">Section </w:t>
      </w:r>
      <w:r w:rsidR="00073AED">
        <w:t>7</w:t>
      </w:r>
      <w:r w:rsidR="004F0C7C">
        <w:t xml:space="preserve">, below, and the detailed </w:t>
      </w:r>
      <w:r w:rsidR="00C36624">
        <w:t xml:space="preserve">notification provisions included in </w:t>
      </w:r>
      <w:r w:rsidR="00913031">
        <w:t>CAEP policy</w:t>
      </w:r>
      <w:r w:rsidR="00C36624">
        <w:t>.</w:t>
      </w:r>
    </w:p>
    <w:p w14:paraId="1B835B6D" w14:textId="77777777" w:rsidR="00E86CDC" w:rsidRPr="00F92E9A" w:rsidRDefault="00E86CDC" w:rsidP="001A4DC3">
      <w:pPr>
        <w:rPr>
          <w:b/>
          <w:color w:val="000000"/>
          <w:u w:color="000000"/>
        </w:rPr>
      </w:pPr>
    </w:p>
    <w:p w14:paraId="48719454" w14:textId="36AAB826" w:rsidR="00D96855" w:rsidRPr="003C2AE5" w:rsidRDefault="00D96855" w:rsidP="001F68C6">
      <w:pPr>
        <w:pStyle w:val="ListParagraph"/>
        <w:numPr>
          <w:ilvl w:val="0"/>
          <w:numId w:val="11"/>
        </w:numPr>
        <w:rPr>
          <w:b/>
        </w:rPr>
      </w:pPr>
      <w:r w:rsidRPr="003C2AE5">
        <w:rPr>
          <w:b/>
        </w:rPr>
        <w:t>Decisions of the Accreditation Council and</w:t>
      </w:r>
      <w:r w:rsidR="00520931">
        <w:rPr>
          <w:b/>
        </w:rPr>
        <w:t xml:space="preserve"> an Ad-Hoc</w:t>
      </w:r>
      <w:r w:rsidRPr="003C2AE5">
        <w:rPr>
          <w:b/>
        </w:rPr>
        <w:t xml:space="preserve"> Appeals Council</w:t>
      </w:r>
    </w:p>
    <w:p w14:paraId="1A733E2E" w14:textId="77777777" w:rsidR="00C85B37" w:rsidRDefault="00C85B37" w:rsidP="00C85B37">
      <w:pPr>
        <w:pStyle w:val="paragraph"/>
        <w:spacing w:before="0" w:beforeAutospacing="0" w:after="0" w:afterAutospacing="0"/>
        <w:ind w:left="360"/>
        <w:textAlignment w:val="baseline"/>
        <w:rPr>
          <w:rStyle w:val="normaltextrun"/>
        </w:rPr>
      </w:pPr>
    </w:p>
    <w:p w14:paraId="434C5A9D" w14:textId="23D41696" w:rsidR="00C85B37" w:rsidRPr="00F92E9A" w:rsidRDefault="00C85B37" w:rsidP="00C85B37">
      <w:pPr>
        <w:pStyle w:val="paragraph"/>
        <w:spacing w:before="0" w:beforeAutospacing="0" w:after="0" w:afterAutospacing="0"/>
        <w:ind w:left="360"/>
        <w:textAlignment w:val="baseline"/>
        <w:rPr>
          <w:rStyle w:val="normaltextrun"/>
        </w:rPr>
      </w:pPr>
      <w:r w:rsidRPr="00F92E9A">
        <w:rPr>
          <w:rStyle w:val="normaltextrun"/>
        </w:rPr>
        <w:t xml:space="preserve">The </w:t>
      </w:r>
      <w:r>
        <w:rPr>
          <w:rStyle w:val="normaltextrun"/>
        </w:rPr>
        <w:t>Parties</w:t>
      </w:r>
      <w:r w:rsidRPr="00F92E9A">
        <w:rPr>
          <w:rStyle w:val="normaltextrun"/>
        </w:rPr>
        <w:t xml:space="preserve"> understand and agree that:</w:t>
      </w:r>
    </w:p>
    <w:p w14:paraId="00B695CF" w14:textId="42E2A0A2" w:rsidR="00D96855" w:rsidRPr="00F92E9A" w:rsidRDefault="00D96855" w:rsidP="001A4DC3">
      <w:pPr>
        <w:rPr>
          <w:color w:val="000000"/>
          <w:u w:color="000000"/>
        </w:rPr>
      </w:pPr>
    </w:p>
    <w:p w14:paraId="0B393501" w14:textId="0DBFE12F" w:rsidR="00D96855" w:rsidRDefault="00D96855" w:rsidP="001F68C6">
      <w:pPr>
        <w:pStyle w:val="ListParagraph"/>
        <w:widowControl w:val="0"/>
        <w:numPr>
          <w:ilvl w:val="1"/>
          <w:numId w:val="11"/>
        </w:numPr>
        <w:ind w:left="432"/>
      </w:pPr>
      <w:r>
        <w:t xml:space="preserve">The Accreditation Council makes decisions regarding the accreditation of EPP’s at meetings held </w:t>
      </w:r>
      <w:r w:rsidR="003910E9">
        <w:lastRenderedPageBreak/>
        <w:t xml:space="preserve">not less than </w:t>
      </w:r>
      <w:r>
        <w:t>two</w:t>
      </w:r>
      <w:r w:rsidR="00994EC5">
        <w:t xml:space="preserve"> (2)</w:t>
      </w:r>
      <w:r>
        <w:t xml:space="preserve"> times each year. </w:t>
      </w:r>
    </w:p>
    <w:p w14:paraId="1B7BABC9" w14:textId="77777777" w:rsidR="00DA47ED" w:rsidRPr="003C2AE5" w:rsidRDefault="00DA47ED" w:rsidP="00DA47ED">
      <w:pPr>
        <w:pStyle w:val="ListParagraph"/>
        <w:widowControl w:val="0"/>
        <w:ind w:left="792"/>
      </w:pPr>
    </w:p>
    <w:p w14:paraId="46CDE972" w14:textId="5E857776" w:rsidR="00D96855" w:rsidRDefault="005201B8" w:rsidP="001F68C6">
      <w:pPr>
        <w:pStyle w:val="ListParagraph"/>
        <w:widowControl w:val="0"/>
        <w:numPr>
          <w:ilvl w:val="1"/>
          <w:numId w:val="11"/>
        </w:numPr>
        <w:ind w:left="432"/>
      </w:pPr>
      <w:r w:rsidRPr="003C2AE5">
        <w:t>Following</w:t>
      </w:r>
      <w:r w:rsidR="00D96855" w:rsidRPr="003C2AE5">
        <w:t xml:space="preserve"> any decision of the Accreditation Council to deny or revoke the accreditation of an EPP, the EPP is </w:t>
      </w:r>
      <w:r w:rsidR="00AD596D" w:rsidRPr="003C2AE5">
        <w:t xml:space="preserve">promptly informed of its option to file a petition for an appeal and </w:t>
      </w:r>
      <w:r w:rsidR="00BE2457">
        <w:t xml:space="preserve">appeal </w:t>
      </w:r>
      <w:r w:rsidR="00AD596D" w:rsidRPr="003C2AE5">
        <w:t>requirements. Appeals cri</w:t>
      </w:r>
      <w:r w:rsidR="00B028C7">
        <w:t>teria and process information are</w:t>
      </w:r>
      <w:r w:rsidR="00AD596D" w:rsidRPr="003C2AE5">
        <w:t xml:space="preserve"> included in </w:t>
      </w:r>
      <w:r w:rsidR="00913031">
        <w:t>CAEP’s policies on appeals</w:t>
      </w:r>
      <w:r w:rsidR="00AD596D" w:rsidRPr="003C2AE5">
        <w:t>.</w:t>
      </w:r>
    </w:p>
    <w:p w14:paraId="386C830C" w14:textId="77777777" w:rsidR="00DA47ED" w:rsidRDefault="00DA47ED" w:rsidP="00DA47ED">
      <w:pPr>
        <w:pStyle w:val="ListParagraph"/>
      </w:pPr>
    </w:p>
    <w:p w14:paraId="7A8E8F5A" w14:textId="0BC95F48" w:rsidR="005201B8" w:rsidRDefault="005201B8" w:rsidP="001F68C6">
      <w:pPr>
        <w:pStyle w:val="ListParagraph"/>
        <w:widowControl w:val="0"/>
        <w:numPr>
          <w:ilvl w:val="1"/>
          <w:numId w:val="11"/>
        </w:numPr>
        <w:ind w:left="432"/>
      </w:pPr>
      <w:r w:rsidRPr="00CA7581">
        <w:t xml:space="preserve">CAEP provides written notice of each decision of the Accreditation Council and </w:t>
      </w:r>
      <w:r w:rsidR="00BE2457">
        <w:t xml:space="preserve">an Ad-hoc </w:t>
      </w:r>
      <w:r w:rsidRPr="00CA7581">
        <w:t xml:space="preserve">Appeal </w:t>
      </w:r>
      <w:r w:rsidR="00BE2457">
        <w:t>Panel</w:t>
      </w:r>
      <w:r w:rsidRPr="00CA7581">
        <w:t xml:space="preserve"> </w:t>
      </w:r>
      <w:r w:rsidR="00BE2457">
        <w:t>in accordance with CAEP policies.</w:t>
      </w:r>
    </w:p>
    <w:p w14:paraId="292B252A" w14:textId="77777777" w:rsidR="00DA47ED" w:rsidRPr="00CA7581" w:rsidRDefault="00DA47ED" w:rsidP="00DA47ED">
      <w:pPr>
        <w:pStyle w:val="ListParagraph"/>
        <w:widowControl w:val="0"/>
        <w:ind w:left="792"/>
      </w:pPr>
    </w:p>
    <w:p w14:paraId="3AFC488F" w14:textId="1A8B75C1" w:rsidR="00E86CDC" w:rsidRPr="00CA7581" w:rsidRDefault="00E86CDC" w:rsidP="001F68C6">
      <w:pPr>
        <w:pStyle w:val="ListParagraph"/>
        <w:widowControl w:val="0"/>
        <w:numPr>
          <w:ilvl w:val="1"/>
          <w:numId w:val="11"/>
        </w:numPr>
        <w:ind w:left="432"/>
      </w:pPr>
      <w:r w:rsidRPr="00CA7581">
        <w:t xml:space="preserve">The written notice CAEP provides regarding its accrediting decisions includes notice to the appropriate State licensing or authorizing agency which may be a party to this agreement. </w:t>
      </w:r>
      <w:r w:rsidR="00250F06">
        <w:t>CAEP’s</w:t>
      </w:r>
      <w:r w:rsidR="00551B9C">
        <w:t xml:space="preserve"> Accreditation Policies and Procedures</w:t>
      </w:r>
      <w:r w:rsidR="00D43092">
        <w:t xml:space="preserve"> </w:t>
      </w:r>
      <w:r w:rsidR="00551B9C">
        <w:t>s</w:t>
      </w:r>
      <w:r w:rsidR="00250F06">
        <w:t xml:space="preserve">pecify the parties to which notice must be provided and the respective timelines for each. </w:t>
      </w:r>
    </w:p>
    <w:p w14:paraId="388CEF34" w14:textId="77777777" w:rsidR="006566EF" w:rsidRPr="00F92E9A" w:rsidRDefault="006566EF" w:rsidP="001A4DC3">
      <w:pPr>
        <w:pStyle w:val="Body"/>
        <w:rPr>
          <w:rFonts w:cs="Times New Roman"/>
        </w:rPr>
      </w:pPr>
    </w:p>
    <w:p w14:paraId="46B64B9F" w14:textId="4F06B7FC" w:rsidR="006566EF" w:rsidRPr="00F92E9A" w:rsidRDefault="005D3EA2" w:rsidP="001F68C6">
      <w:pPr>
        <w:pStyle w:val="Body"/>
        <w:numPr>
          <w:ilvl w:val="0"/>
          <w:numId w:val="11"/>
        </w:numPr>
        <w:tabs>
          <w:tab w:val="left" w:pos="450"/>
        </w:tabs>
        <w:rPr>
          <w:rFonts w:cs="Times New Roman"/>
          <w:b/>
          <w:bCs/>
        </w:rPr>
      </w:pPr>
      <w:r w:rsidRPr="00F92E9A">
        <w:rPr>
          <w:rFonts w:cs="Times New Roman"/>
          <w:b/>
          <w:bCs/>
        </w:rPr>
        <w:t>Data Sharing</w:t>
      </w:r>
    </w:p>
    <w:p w14:paraId="5A7FF3CB" w14:textId="34304C86" w:rsidR="006566EF" w:rsidRDefault="006566EF" w:rsidP="001A4DC3">
      <w:pPr>
        <w:pStyle w:val="Body"/>
        <w:tabs>
          <w:tab w:val="left" w:pos="450"/>
        </w:tabs>
        <w:rPr>
          <w:rFonts w:cs="Times New Roman"/>
        </w:rPr>
      </w:pPr>
    </w:p>
    <w:p w14:paraId="6D9BEECE" w14:textId="77777777" w:rsidR="00C85B37" w:rsidRPr="00F92E9A" w:rsidRDefault="00C85B37" w:rsidP="00C85B37">
      <w:pPr>
        <w:pStyle w:val="paragraph"/>
        <w:spacing w:before="0" w:beforeAutospacing="0" w:after="0" w:afterAutospacing="0"/>
        <w:ind w:left="360"/>
        <w:textAlignment w:val="baseline"/>
        <w:rPr>
          <w:rStyle w:val="normaltextrun"/>
        </w:rPr>
      </w:pPr>
      <w:r w:rsidRPr="00F92E9A">
        <w:rPr>
          <w:rStyle w:val="normaltextrun"/>
        </w:rPr>
        <w:t xml:space="preserve">The </w:t>
      </w:r>
      <w:r>
        <w:rPr>
          <w:rStyle w:val="normaltextrun"/>
        </w:rPr>
        <w:t>Parties</w:t>
      </w:r>
      <w:r w:rsidRPr="00F92E9A">
        <w:rPr>
          <w:rStyle w:val="normaltextrun"/>
        </w:rPr>
        <w:t xml:space="preserve"> understand and agree that:</w:t>
      </w:r>
    </w:p>
    <w:p w14:paraId="3BF48772" w14:textId="77777777" w:rsidR="00C85B37" w:rsidRPr="00F92E9A" w:rsidRDefault="00C85B37" w:rsidP="001A4DC3">
      <w:pPr>
        <w:pStyle w:val="Body"/>
        <w:tabs>
          <w:tab w:val="left" w:pos="450"/>
        </w:tabs>
        <w:rPr>
          <w:rFonts w:cs="Times New Roman"/>
        </w:rPr>
      </w:pPr>
    </w:p>
    <w:p w14:paraId="572B8196" w14:textId="0A6DDE28" w:rsidR="00D96855" w:rsidRDefault="006E2C56" w:rsidP="001F68C6">
      <w:pPr>
        <w:pStyle w:val="ListParagraph"/>
        <w:numPr>
          <w:ilvl w:val="1"/>
          <w:numId w:val="11"/>
        </w:numPr>
        <w:ind w:left="432"/>
      </w:pPr>
      <w:r>
        <w:t xml:space="preserve">The </w:t>
      </w:r>
      <w:r w:rsidR="00D96855">
        <w:t xml:space="preserve">CAEP Standards and process for </w:t>
      </w:r>
      <w:r w:rsidR="00CC1F55">
        <w:t>CAEP Accreditation</w:t>
      </w:r>
      <w:r w:rsidR="004F0C7C">
        <w:t xml:space="preserve"> require an EPP to</w:t>
      </w:r>
      <w:r w:rsidR="00D96855">
        <w:t xml:space="preserve"> collect and share data. </w:t>
      </w:r>
      <w:r>
        <w:t xml:space="preserve">To the extent that </w:t>
      </w:r>
      <w:r w:rsidR="59683BFA">
        <w:t>the State</w:t>
      </w:r>
      <w:r>
        <w:t xml:space="preserve"> maintains data necessary for CAEP’s review of an EPP, </w:t>
      </w:r>
      <w:r w:rsidR="00D96855">
        <w:t>subject to any data sharing agreement that may exi</w:t>
      </w:r>
      <w:r>
        <w:t xml:space="preserve">st between an EPP and the State, CAEP expects that the State will make the relevant data available to </w:t>
      </w:r>
      <w:r w:rsidR="5F218C60">
        <w:t>EPP’s</w:t>
      </w:r>
      <w:r w:rsidR="000D08E1">
        <w:t xml:space="preserve"> at no cost, in a timely manner, with all personally identifiable information removed</w:t>
      </w:r>
      <w:r w:rsidR="004F0C7C">
        <w:t xml:space="preserve"> or redacted</w:t>
      </w:r>
      <w:r w:rsidR="000D08E1">
        <w:t>, and with all appropriate permissions to use the d</w:t>
      </w:r>
      <w:r w:rsidR="008D3443">
        <w:t xml:space="preserve">ata for </w:t>
      </w:r>
      <w:r w:rsidR="00CC1F55">
        <w:t xml:space="preserve">CAEP </w:t>
      </w:r>
      <w:r w:rsidR="00250F06">
        <w:t>a</w:t>
      </w:r>
      <w:r w:rsidR="00CC1F55">
        <w:t>ccreditation</w:t>
      </w:r>
      <w:r w:rsidR="008D3443">
        <w:t xml:space="preserve"> activit</w:t>
      </w:r>
      <w:r w:rsidR="000D08E1">
        <w:t>ies.</w:t>
      </w:r>
    </w:p>
    <w:p w14:paraId="6135F5F8" w14:textId="77777777" w:rsidR="00DA47ED" w:rsidRPr="00F92E9A" w:rsidRDefault="00DA47ED" w:rsidP="00DA47ED">
      <w:pPr>
        <w:pStyle w:val="ListParagraph"/>
        <w:ind w:left="792"/>
      </w:pPr>
    </w:p>
    <w:p w14:paraId="2CDDEE9E" w14:textId="06FE8758" w:rsidR="006E2C56" w:rsidRDefault="005D3EA2" w:rsidP="001F68C6">
      <w:pPr>
        <w:pStyle w:val="ListParagraph"/>
        <w:widowControl w:val="0"/>
        <w:numPr>
          <w:ilvl w:val="1"/>
          <w:numId w:val="11"/>
        </w:numPr>
        <w:ind w:left="432"/>
      </w:pPr>
      <w:r>
        <w:t xml:space="preserve">In order to facilitate the reviews necessary for </w:t>
      </w:r>
      <w:r w:rsidR="00CC1F55">
        <w:t xml:space="preserve">CAEP </w:t>
      </w:r>
      <w:r w:rsidR="00250F06">
        <w:t>a</w:t>
      </w:r>
      <w:r w:rsidR="00CC1F55">
        <w:t>ccreditation</w:t>
      </w:r>
      <w:r>
        <w:t>, CAEP will provide the State and each dues paying EPP</w:t>
      </w:r>
      <w:r w:rsidR="00EA55D7">
        <w:t xml:space="preserve"> in the State</w:t>
      </w:r>
      <w:r w:rsidR="00320CE5">
        <w:t xml:space="preserve"> with access to the CAEP accreditation platform</w:t>
      </w:r>
      <w:r>
        <w:t>, CAEP’s data and information management system. Should the State or any EPP fail to pay annual dues to CAEP in a timely manner, CAEP reserves the</w:t>
      </w:r>
      <w:r w:rsidR="00320CE5">
        <w:t xml:space="preserve"> right to suspend access to the CAEP accreditation platform</w:t>
      </w:r>
      <w:r>
        <w:t xml:space="preserve"> until any outstanding dues are paid. </w:t>
      </w:r>
    </w:p>
    <w:p w14:paraId="6E62BA81" w14:textId="77777777" w:rsidR="00B26138" w:rsidRDefault="00B26138" w:rsidP="00B26138">
      <w:pPr>
        <w:pStyle w:val="ListParagraph"/>
      </w:pPr>
    </w:p>
    <w:p w14:paraId="32314DD8" w14:textId="77777777" w:rsidR="00DA47ED" w:rsidRDefault="00DA47ED" w:rsidP="00DA47ED">
      <w:pPr>
        <w:pStyle w:val="ListParagraph"/>
      </w:pPr>
    </w:p>
    <w:p w14:paraId="478A11B8" w14:textId="73312A1A" w:rsidR="006566EF" w:rsidRPr="00F92E9A" w:rsidRDefault="00320CE5" w:rsidP="001F68C6">
      <w:pPr>
        <w:pStyle w:val="ListParagraph"/>
        <w:widowControl w:val="0"/>
        <w:numPr>
          <w:ilvl w:val="1"/>
          <w:numId w:val="11"/>
        </w:numPr>
        <w:ind w:left="432"/>
      </w:pPr>
      <w:r>
        <w:t>CAEP</w:t>
      </w:r>
      <w:r w:rsidR="00B26138">
        <w:t xml:space="preserve">’s </w:t>
      </w:r>
      <w:hyperlink r:id="rId17" w:history="1">
        <w:r w:rsidR="00B26138" w:rsidRPr="00D43092">
          <w:rPr>
            <w:rStyle w:val="Hyperlink"/>
          </w:rPr>
          <w:t>Accreditation</w:t>
        </w:r>
      </w:hyperlink>
      <w:r w:rsidR="00B26138">
        <w:t xml:space="preserve"> Policies and Procedures</w:t>
      </w:r>
      <w:r>
        <w:t xml:space="preserve"> and the CAEP accreditation platform</w:t>
      </w:r>
      <w:r w:rsidR="005D3EA2" w:rsidRPr="00F92E9A">
        <w:t xml:space="preserve"> include information on the confidential nature of in</w:t>
      </w:r>
      <w:r>
        <w:t>formation maintained within the CAEP accreditation platform</w:t>
      </w:r>
      <w:r w:rsidR="005D3EA2" w:rsidRPr="00F92E9A">
        <w:t xml:space="preserve">. </w:t>
      </w:r>
      <w:r w:rsidR="006E2C56" w:rsidRPr="00F92E9A">
        <w:t xml:space="preserve">All </w:t>
      </w:r>
      <w:r>
        <w:t xml:space="preserve">CAEP accreditation platform </w:t>
      </w:r>
      <w:r w:rsidR="006E2C56" w:rsidRPr="00F92E9A">
        <w:t xml:space="preserve">users must acknowledge </w:t>
      </w:r>
      <w:hyperlink r:id="rId18" w:history="1">
        <w:r w:rsidR="006E2C56" w:rsidRPr="00792F8A">
          <w:rPr>
            <w:rStyle w:val="Hyperlink"/>
          </w:rPr>
          <w:t>CAEP’s confidentiality policy</w:t>
        </w:r>
      </w:hyperlink>
      <w:r w:rsidR="002E3E38">
        <w:t xml:space="preserve">, established in </w:t>
      </w:r>
      <w:hyperlink r:id="rId19" w:history="1">
        <w:r w:rsidR="002E3E38" w:rsidRPr="00D43092">
          <w:rPr>
            <w:rStyle w:val="Hyperlink"/>
          </w:rPr>
          <w:t>Accreditation Policies and Procedures</w:t>
        </w:r>
      </w:hyperlink>
      <w:r w:rsidR="002E3E38">
        <w:t>,</w:t>
      </w:r>
      <w:r w:rsidR="006E2C56" w:rsidRPr="00F92E9A">
        <w:t xml:space="preserve"> and agree to adhere to it.</w:t>
      </w:r>
    </w:p>
    <w:p w14:paraId="67664452" w14:textId="77777777" w:rsidR="006566EF" w:rsidRPr="00F92E9A" w:rsidRDefault="006566EF" w:rsidP="001A4DC3">
      <w:pPr>
        <w:pStyle w:val="ListParagraph"/>
        <w:rPr>
          <w:rFonts w:cs="Times New Roman"/>
        </w:rPr>
      </w:pPr>
    </w:p>
    <w:p w14:paraId="5957ED35" w14:textId="661F7587" w:rsidR="006566EF" w:rsidRPr="00F92E9A" w:rsidRDefault="00F72007" w:rsidP="001F68C6">
      <w:pPr>
        <w:pStyle w:val="Body"/>
        <w:numPr>
          <w:ilvl w:val="0"/>
          <w:numId w:val="11"/>
        </w:numPr>
        <w:tabs>
          <w:tab w:val="left" w:pos="450"/>
        </w:tabs>
        <w:rPr>
          <w:rFonts w:cs="Times New Roman"/>
        </w:rPr>
      </w:pPr>
      <w:r>
        <w:rPr>
          <w:rFonts w:cs="Times New Roman"/>
          <w:b/>
          <w:bCs/>
        </w:rPr>
        <w:t>Partnership</w:t>
      </w:r>
      <w:r w:rsidR="005D3EA2" w:rsidRPr="00F92E9A">
        <w:rPr>
          <w:rFonts w:cs="Times New Roman"/>
          <w:b/>
          <w:bCs/>
        </w:rPr>
        <w:t xml:space="preserve"> Dues</w:t>
      </w:r>
      <w:r w:rsidR="000C347D" w:rsidRPr="00F92E9A">
        <w:rPr>
          <w:rFonts w:cs="Times New Roman"/>
          <w:b/>
          <w:bCs/>
        </w:rPr>
        <w:t>, State Benefits, and Fees for Additional Services</w:t>
      </w:r>
    </w:p>
    <w:p w14:paraId="5E042A5D" w14:textId="77777777" w:rsidR="00C85B37" w:rsidRDefault="00C85B37" w:rsidP="00C85B37">
      <w:pPr>
        <w:pStyle w:val="paragraph"/>
        <w:spacing w:before="0" w:beforeAutospacing="0" w:after="0" w:afterAutospacing="0"/>
        <w:ind w:left="360"/>
        <w:textAlignment w:val="baseline"/>
        <w:rPr>
          <w:rStyle w:val="normaltextrun"/>
        </w:rPr>
      </w:pPr>
    </w:p>
    <w:p w14:paraId="1E9F6932" w14:textId="79196352" w:rsidR="00C85B37" w:rsidRPr="00F92E9A" w:rsidRDefault="00C85B37" w:rsidP="00C85B37">
      <w:pPr>
        <w:pStyle w:val="paragraph"/>
        <w:spacing w:before="0" w:beforeAutospacing="0" w:after="0" w:afterAutospacing="0"/>
        <w:ind w:left="360"/>
        <w:textAlignment w:val="baseline"/>
        <w:rPr>
          <w:rStyle w:val="normaltextrun"/>
        </w:rPr>
      </w:pPr>
      <w:r w:rsidRPr="00F92E9A">
        <w:rPr>
          <w:rStyle w:val="normaltextrun"/>
        </w:rPr>
        <w:t xml:space="preserve">The </w:t>
      </w:r>
      <w:r>
        <w:rPr>
          <w:rStyle w:val="normaltextrun"/>
        </w:rPr>
        <w:t>Parties</w:t>
      </w:r>
      <w:r w:rsidRPr="00F92E9A">
        <w:rPr>
          <w:rStyle w:val="normaltextrun"/>
        </w:rPr>
        <w:t xml:space="preserve"> understand and agree that:</w:t>
      </w:r>
    </w:p>
    <w:p w14:paraId="4AA8EDA4" w14:textId="77777777" w:rsidR="00C85B37" w:rsidRDefault="00C85B37" w:rsidP="00C85B37">
      <w:pPr>
        <w:widowControl w:val="0"/>
      </w:pPr>
    </w:p>
    <w:p w14:paraId="3C6B2CEC" w14:textId="4029221A" w:rsidR="00317586" w:rsidRPr="009838B3" w:rsidRDefault="009838B3" w:rsidP="001F68C6">
      <w:pPr>
        <w:pStyle w:val="Body"/>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rPr>
      </w:pPr>
      <w:r>
        <w:t xml:space="preserve">The </w:t>
      </w:r>
      <w:r w:rsidR="70D1E174">
        <w:t>State</w:t>
      </w:r>
      <w:r>
        <w:t xml:space="preserve"> </w:t>
      </w:r>
      <w:r w:rsidR="005D3EA2">
        <w:t xml:space="preserve">will be responsible for payment of annual </w:t>
      </w:r>
      <w:r w:rsidR="00073AED">
        <w:t>State</w:t>
      </w:r>
      <w:r w:rsidR="005D3EA2">
        <w:t xml:space="preserve"> </w:t>
      </w:r>
      <w:r w:rsidR="00073AED">
        <w:t>P</w:t>
      </w:r>
      <w:r w:rsidR="000979BE">
        <w:t xml:space="preserve">artnership </w:t>
      </w:r>
      <w:r w:rsidR="005D3EA2">
        <w:t xml:space="preserve">dues (See Appendix A). Dues may be reviewed and updated annually by CAEP. Should the amount of the State’s annual </w:t>
      </w:r>
      <w:r w:rsidR="00073AED">
        <w:t>State P</w:t>
      </w:r>
      <w:r w:rsidR="000979BE">
        <w:t xml:space="preserve">artnership </w:t>
      </w:r>
      <w:r w:rsidR="005D3EA2">
        <w:t xml:space="preserve">dues be changed during the term of this agreement, CAEP </w:t>
      </w:r>
      <w:r w:rsidR="00AD233E">
        <w:t xml:space="preserve">shall </w:t>
      </w:r>
      <w:r w:rsidR="005D3EA2">
        <w:t xml:space="preserve">notify the State of the new dues amount and the effective date. </w:t>
      </w:r>
      <w:r w:rsidR="00AD233E">
        <w:t>The State shall have the option to amend the Agreement to incorporate the new dues amount or to terminate the Agreement without penalty.</w:t>
      </w:r>
    </w:p>
    <w:p w14:paraId="1D33E7EB" w14:textId="0FBC0DD4" w:rsidR="006566EF" w:rsidRPr="00F92E9A" w:rsidRDefault="005D3EA2" w:rsidP="00317586">
      <w:pPr>
        <w:pStyle w:val="ListParagraph"/>
        <w:widowControl w:val="0"/>
        <w:ind w:left="792"/>
      </w:pPr>
      <w:r w:rsidRPr="00F92E9A">
        <w:lastRenderedPageBreak/>
        <w:t xml:space="preserve"> </w:t>
      </w:r>
    </w:p>
    <w:p w14:paraId="4F76E8BB" w14:textId="3172A98D" w:rsidR="00F5683C" w:rsidRDefault="00601BDF" w:rsidP="001F68C6">
      <w:pPr>
        <w:pStyle w:val="ListParagraph"/>
        <w:widowControl w:val="0"/>
        <w:numPr>
          <w:ilvl w:val="1"/>
          <w:numId w:val="11"/>
        </w:numPr>
        <w:ind w:left="432"/>
      </w:pPr>
      <w:r w:rsidRPr="00F92E9A">
        <w:t xml:space="preserve">CAEP will provide up to three (3) individuals employed </w:t>
      </w:r>
      <w:r w:rsidR="00320CE5">
        <w:t xml:space="preserve">by the State with access to </w:t>
      </w:r>
      <w:r w:rsidR="001C63E9">
        <w:t xml:space="preserve">the </w:t>
      </w:r>
      <w:r w:rsidR="00320CE5">
        <w:t>CAEP accreditation platform</w:t>
      </w:r>
      <w:r w:rsidRPr="00F92E9A">
        <w:t>.</w:t>
      </w:r>
    </w:p>
    <w:p w14:paraId="16DF635D" w14:textId="77777777" w:rsidR="001F68C6" w:rsidRDefault="001F68C6" w:rsidP="001F68C6">
      <w:pPr>
        <w:pStyle w:val="ListParagraph"/>
        <w:widowControl w:val="0"/>
        <w:ind w:left="432"/>
      </w:pPr>
    </w:p>
    <w:p w14:paraId="3A5F6A69" w14:textId="62524DCB" w:rsidR="006566EF" w:rsidRDefault="000D08E1" w:rsidP="001F68C6">
      <w:pPr>
        <w:pStyle w:val="ListParagraph"/>
        <w:widowControl w:val="0"/>
        <w:numPr>
          <w:ilvl w:val="1"/>
          <w:numId w:val="11"/>
        </w:numPr>
        <w:ind w:left="432"/>
      </w:pPr>
      <w:r>
        <w:t xml:space="preserve">During each year covered by this agreement, </w:t>
      </w:r>
      <w:r w:rsidR="005D3EA2" w:rsidRPr="00F92E9A">
        <w:t>CAEP will waive the CAEP Conference regist</w:t>
      </w:r>
      <w:r w:rsidR="00B17396">
        <w:t xml:space="preserve">ration fee for one (1) designated State representative; </w:t>
      </w:r>
      <w:r w:rsidR="0041253C">
        <w:t>however,</w:t>
      </w:r>
      <w:r w:rsidR="00B17396">
        <w:t xml:space="preserve"> the State or State representative</w:t>
      </w:r>
      <w:r w:rsidR="005D3EA2" w:rsidRPr="00F92E9A">
        <w:t xml:space="preserve"> must assume other expenses associated with conference</w:t>
      </w:r>
      <w:r w:rsidR="001F68C6">
        <w:t xml:space="preserve"> participation</w:t>
      </w:r>
      <w:r w:rsidR="005D3EA2" w:rsidRPr="00F92E9A">
        <w:t xml:space="preserve">.  </w:t>
      </w:r>
    </w:p>
    <w:p w14:paraId="5A1373C8" w14:textId="77777777" w:rsidR="00DA47ED" w:rsidRDefault="00DA47ED" w:rsidP="00DA47ED">
      <w:pPr>
        <w:pStyle w:val="ListParagraph"/>
      </w:pPr>
    </w:p>
    <w:p w14:paraId="6ED63B1F" w14:textId="3F0A94E7" w:rsidR="00601BDF" w:rsidRDefault="00F72007" w:rsidP="001F68C6">
      <w:pPr>
        <w:pStyle w:val="ListParagraph"/>
        <w:widowControl w:val="0"/>
        <w:numPr>
          <w:ilvl w:val="1"/>
          <w:numId w:val="11"/>
        </w:numPr>
        <w:ind w:left="432"/>
      </w:pPr>
      <w:r>
        <w:t>CAEP offers states access to CAEP National Training for up to five</w:t>
      </w:r>
      <w:r w:rsidR="001C63E9">
        <w:t xml:space="preserve"> (5)</w:t>
      </w:r>
      <w:r>
        <w:t xml:space="preserve"> site </w:t>
      </w:r>
      <w:r w:rsidR="00BE2457">
        <w:t>reviewers</w:t>
      </w:r>
      <w:r w:rsidR="0038251E">
        <w:t xml:space="preserve"> </w:t>
      </w:r>
      <w:r>
        <w:t>a year, including training and travel (</w:t>
      </w:r>
      <w:r w:rsidR="0038251E">
        <w:t>a</w:t>
      </w:r>
      <w:r>
        <w:t>dditional participants may be added based on need and on a cost</w:t>
      </w:r>
      <w:r w:rsidR="0038251E">
        <w:t>-</w:t>
      </w:r>
      <w:r>
        <w:t>recovery basis)</w:t>
      </w:r>
      <w:r w:rsidR="0038251E">
        <w:t>.</w:t>
      </w:r>
      <w:r w:rsidR="00601BDF">
        <w:t xml:space="preserve"> </w:t>
      </w:r>
      <w:r w:rsidR="00131980">
        <w:t>CAEP</w:t>
      </w:r>
      <w:r>
        <w:t xml:space="preserve"> </w:t>
      </w:r>
      <w:r w:rsidR="00463DE8">
        <w:t>may</w:t>
      </w:r>
      <w:r>
        <w:t xml:space="preserve"> also offer supplemental training opportunities for state reviewers. Supplemental</w:t>
      </w:r>
      <w:r w:rsidR="00131980">
        <w:t xml:space="preserve"> </w:t>
      </w:r>
      <w:r w:rsidR="00601BDF">
        <w:t xml:space="preserve">training events </w:t>
      </w:r>
      <w:r w:rsidR="00131980">
        <w:t>that are</w:t>
      </w:r>
      <w:r w:rsidR="00601BDF">
        <w:t xml:space="preserve"> arranged, including events in </w:t>
      </w:r>
      <w:r w:rsidR="104A09FD">
        <w:t>the State</w:t>
      </w:r>
      <w:r w:rsidR="00601BDF">
        <w:t xml:space="preserve">, </w:t>
      </w:r>
      <w:r w:rsidR="00131980">
        <w:t xml:space="preserve">will be provided by CAEP </w:t>
      </w:r>
      <w:r w:rsidR="00601BDF">
        <w:t xml:space="preserve">on a cost-recovery basis </w:t>
      </w:r>
      <w:r w:rsidR="00131980">
        <w:t xml:space="preserve">and </w:t>
      </w:r>
      <w:r w:rsidR="00601BDF">
        <w:t xml:space="preserve">with </w:t>
      </w:r>
      <w:r w:rsidR="00131980">
        <w:t xml:space="preserve">specific </w:t>
      </w:r>
      <w:r w:rsidR="00601BDF">
        <w:t>arrangements negotiated according to CAEP’s policies regarding fees and expenses for training.</w:t>
      </w:r>
    </w:p>
    <w:p w14:paraId="700EFDF9" w14:textId="77777777" w:rsidR="00DA47ED" w:rsidRDefault="00DA47ED" w:rsidP="00DA47ED">
      <w:pPr>
        <w:pStyle w:val="ListParagraph"/>
      </w:pPr>
    </w:p>
    <w:p w14:paraId="3CE9E8E4" w14:textId="407535A6" w:rsidR="002E15CC" w:rsidRPr="00F92E9A" w:rsidRDefault="002E15CC" w:rsidP="001F68C6">
      <w:pPr>
        <w:pStyle w:val="ListParagraph"/>
        <w:widowControl w:val="0"/>
        <w:numPr>
          <w:ilvl w:val="1"/>
          <w:numId w:val="11"/>
        </w:numPr>
        <w:ind w:left="432"/>
      </w:pPr>
      <w:r>
        <w:t xml:space="preserve">The State will work with associations that represent P-12 educators (NEA, AFT, NBPTS), </w:t>
      </w:r>
      <w:r w:rsidR="001C63E9">
        <w:t>EPP’s</w:t>
      </w:r>
      <w:r>
        <w:t xml:space="preserve">, and education administrators to establish credit toward continuing education units or professional development requirements at the local district level in return for the State's P-12 educators’ professional contributions to the work of CAEP as </w:t>
      </w:r>
      <w:r w:rsidR="0038251E">
        <w:t>s</w:t>
      </w:r>
      <w:r>
        <w:t xml:space="preserve">ite </w:t>
      </w:r>
      <w:r w:rsidR="00BE2457">
        <w:t>review</w:t>
      </w:r>
      <w:r w:rsidR="00036574">
        <w:t xml:space="preserve"> team members</w:t>
      </w:r>
      <w:r w:rsidR="00767DCF">
        <w:t>.</w:t>
      </w:r>
    </w:p>
    <w:p w14:paraId="15B6C99D" w14:textId="77777777" w:rsidR="002E15CC" w:rsidRPr="00F92E9A" w:rsidRDefault="002E15CC" w:rsidP="001A4DC3">
      <w:pPr>
        <w:widowControl w:val="0"/>
      </w:pPr>
    </w:p>
    <w:p w14:paraId="0E971375" w14:textId="5011686D" w:rsidR="006566EF" w:rsidRDefault="002E15CC" w:rsidP="001F68C6">
      <w:pPr>
        <w:pStyle w:val="Body"/>
        <w:widowControl w:val="0"/>
        <w:numPr>
          <w:ilvl w:val="0"/>
          <w:numId w:val="11"/>
        </w:numPr>
        <w:rPr>
          <w:rFonts w:cs="Times New Roman"/>
          <w:b/>
        </w:rPr>
      </w:pPr>
      <w:r w:rsidRPr="00F92E9A">
        <w:rPr>
          <w:rFonts w:cs="Times New Roman"/>
          <w:b/>
        </w:rPr>
        <w:t xml:space="preserve">State </w:t>
      </w:r>
      <w:r w:rsidR="00010A4E">
        <w:rPr>
          <w:rFonts w:cs="Times New Roman"/>
          <w:b/>
        </w:rPr>
        <w:t xml:space="preserve">and CAEP </w:t>
      </w:r>
      <w:r w:rsidRPr="00F92E9A">
        <w:rPr>
          <w:rFonts w:cs="Times New Roman"/>
          <w:b/>
        </w:rPr>
        <w:t>Contact</w:t>
      </w:r>
      <w:r w:rsidR="00010A4E">
        <w:rPr>
          <w:rFonts w:cs="Times New Roman"/>
          <w:b/>
        </w:rPr>
        <w:t>s</w:t>
      </w:r>
    </w:p>
    <w:p w14:paraId="6D1D6D2D" w14:textId="77777777" w:rsidR="00C85B37" w:rsidRDefault="00C85B37" w:rsidP="00C85B37">
      <w:pPr>
        <w:pStyle w:val="paragraph"/>
        <w:spacing w:before="0" w:beforeAutospacing="0" w:after="0" w:afterAutospacing="0"/>
        <w:ind w:left="360"/>
        <w:textAlignment w:val="baseline"/>
        <w:rPr>
          <w:rStyle w:val="normaltextrun"/>
        </w:rPr>
      </w:pPr>
    </w:p>
    <w:p w14:paraId="1119F9BB" w14:textId="79D14A54" w:rsidR="00C85B37" w:rsidRPr="00F92E9A" w:rsidRDefault="00C85B37" w:rsidP="00C85B37">
      <w:pPr>
        <w:pStyle w:val="paragraph"/>
        <w:spacing w:before="0" w:beforeAutospacing="0" w:after="0" w:afterAutospacing="0"/>
        <w:ind w:left="360"/>
        <w:textAlignment w:val="baseline"/>
        <w:rPr>
          <w:rStyle w:val="normaltextrun"/>
        </w:rPr>
      </w:pPr>
      <w:r w:rsidRPr="00F92E9A">
        <w:rPr>
          <w:rStyle w:val="normaltextrun"/>
        </w:rPr>
        <w:t xml:space="preserve">The </w:t>
      </w:r>
      <w:r>
        <w:rPr>
          <w:rStyle w:val="normaltextrun"/>
        </w:rPr>
        <w:t>Parties</w:t>
      </w:r>
      <w:r w:rsidRPr="00F92E9A">
        <w:rPr>
          <w:rStyle w:val="normaltextrun"/>
        </w:rPr>
        <w:t xml:space="preserve"> understand and agree that:</w:t>
      </w:r>
    </w:p>
    <w:p w14:paraId="46DFECA6" w14:textId="77777777" w:rsidR="00C85B37" w:rsidRPr="00F92E9A" w:rsidRDefault="00C85B37" w:rsidP="00C85B37">
      <w:pPr>
        <w:pStyle w:val="Body"/>
        <w:widowControl w:val="0"/>
        <w:ind w:left="360"/>
        <w:rPr>
          <w:rFonts w:cs="Times New Roman"/>
          <w:b/>
        </w:rPr>
      </w:pPr>
    </w:p>
    <w:p w14:paraId="6C18B78C" w14:textId="2FD80232" w:rsidR="002E15CC" w:rsidRPr="00DA47ED" w:rsidRDefault="002E15CC" w:rsidP="000C2E71">
      <w:pPr>
        <w:pStyle w:val="Default"/>
        <w:numPr>
          <w:ilvl w:val="1"/>
          <w:numId w:val="11"/>
        </w:numPr>
        <w:ind w:left="540" w:hanging="540"/>
        <w:rPr>
          <w:rFonts w:ascii="Times New Roman" w:eastAsia="Times New Roman" w:hAnsi="Times New Roman" w:cs="Times New Roman"/>
        </w:rPr>
      </w:pPr>
      <w:r w:rsidRPr="00F92E9A">
        <w:rPr>
          <w:rFonts w:ascii="Times New Roman" w:hAnsi="Times New Roman" w:cs="Times New Roman"/>
        </w:rPr>
        <w:t>The State will designate a liaison to serve as the primary contact for CAEP throughout the term of this agreement.</w:t>
      </w:r>
    </w:p>
    <w:p w14:paraId="0CD8FB3A" w14:textId="77777777" w:rsidR="00DA47ED" w:rsidRPr="00010A4E" w:rsidRDefault="00DA47ED" w:rsidP="000C2E71">
      <w:pPr>
        <w:pStyle w:val="Default"/>
        <w:ind w:left="540" w:hanging="540"/>
        <w:rPr>
          <w:rFonts w:ascii="Times New Roman" w:eastAsia="Times New Roman" w:hAnsi="Times New Roman" w:cs="Times New Roman"/>
        </w:rPr>
      </w:pPr>
    </w:p>
    <w:p w14:paraId="528D36C9" w14:textId="02C311FE" w:rsidR="00010A4E" w:rsidRPr="00F92E9A" w:rsidRDefault="00010A4E" w:rsidP="000C2E71">
      <w:pPr>
        <w:pStyle w:val="Default"/>
        <w:numPr>
          <w:ilvl w:val="1"/>
          <w:numId w:val="11"/>
        </w:numPr>
        <w:ind w:left="540" w:hanging="540"/>
        <w:rPr>
          <w:rFonts w:ascii="Times New Roman" w:eastAsia="Times New Roman" w:hAnsi="Times New Roman" w:cs="Times New Roman"/>
        </w:rPr>
      </w:pPr>
      <w:r w:rsidRPr="6BF9A8AD">
        <w:rPr>
          <w:rFonts w:ascii="Times New Roman" w:hAnsi="Times New Roman" w:cs="Times New Roman"/>
        </w:rPr>
        <w:t xml:space="preserve">CAEP will designate a liaison to serve as the primary contact for </w:t>
      </w:r>
      <w:r w:rsidR="26D6FC69" w:rsidRPr="6BF9A8AD">
        <w:rPr>
          <w:rFonts w:ascii="Times New Roman" w:hAnsi="Times New Roman" w:cs="Times New Roman"/>
        </w:rPr>
        <w:t>the State</w:t>
      </w:r>
      <w:r w:rsidRPr="6BF9A8AD">
        <w:rPr>
          <w:rFonts w:ascii="Times New Roman" w:hAnsi="Times New Roman" w:cs="Times New Roman"/>
        </w:rPr>
        <w:t xml:space="preserve"> through the term of this agreement.</w:t>
      </w:r>
    </w:p>
    <w:p w14:paraId="310D4AF3" w14:textId="3FF8912A" w:rsidR="002E15CC" w:rsidRPr="00F92E9A" w:rsidRDefault="002E15CC" w:rsidP="001A4DC3">
      <w:pPr>
        <w:pStyle w:val="Body"/>
        <w:widowControl w:val="0"/>
        <w:rPr>
          <w:rFonts w:cs="Times New Roman"/>
        </w:rPr>
      </w:pPr>
    </w:p>
    <w:p w14:paraId="3DE5C728" w14:textId="1E0D2CAF" w:rsidR="002E15CC" w:rsidRDefault="002E15CC" w:rsidP="001F68C6">
      <w:pPr>
        <w:pStyle w:val="Body"/>
        <w:widowControl w:val="0"/>
        <w:numPr>
          <w:ilvl w:val="0"/>
          <w:numId w:val="11"/>
        </w:numPr>
        <w:rPr>
          <w:rFonts w:cs="Times New Roman"/>
          <w:b/>
        </w:rPr>
      </w:pPr>
      <w:r w:rsidRPr="00F92E9A">
        <w:rPr>
          <w:rFonts w:cs="Times New Roman"/>
          <w:b/>
        </w:rPr>
        <w:t>Agreement Term and Amendments</w:t>
      </w:r>
    </w:p>
    <w:p w14:paraId="22919CF5" w14:textId="77777777" w:rsidR="00C85B37" w:rsidRDefault="00C85B37" w:rsidP="00C85B37">
      <w:pPr>
        <w:pStyle w:val="paragraph"/>
        <w:spacing w:before="0" w:beforeAutospacing="0" w:after="0" w:afterAutospacing="0"/>
        <w:textAlignment w:val="baseline"/>
        <w:rPr>
          <w:rStyle w:val="normaltextrun"/>
        </w:rPr>
      </w:pPr>
    </w:p>
    <w:p w14:paraId="25E44A4E" w14:textId="0FA0B021" w:rsidR="00C85B37" w:rsidRPr="00F92E9A" w:rsidRDefault="00C85B37" w:rsidP="00C85B37">
      <w:pPr>
        <w:pStyle w:val="paragraph"/>
        <w:spacing w:before="0" w:beforeAutospacing="0" w:after="0" w:afterAutospacing="0"/>
        <w:textAlignment w:val="baseline"/>
        <w:rPr>
          <w:rStyle w:val="normaltextrun"/>
        </w:rPr>
      </w:pPr>
      <w:r w:rsidRPr="00F92E9A">
        <w:rPr>
          <w:rStyle w:val="normaltextrun"/>
        </w:rPr>
        <w:t xml:space="preserve">The </w:t>
      </w:r>
      <w:r>
        <w:rPr>
          <w:rStyle w:val="normaltextrun"/>
        </w:rPr>
        <w:t>Parties</w:t>
      </w:r>
      <w:r w:rsidRPr="00F92E9A">
        <w:rPr>
          <w:rStyle w:val="normaltextrun"/>
        </w:rPr>
        <w:t xml:space="preserve"> understand and agree that:</w:t>
      </w:r>
    </w:p>
    <w:p w14:paraId="7A77EA65" w14:textId="77777777" w:rsidR="00C85B37" w:rsidRPr="00F92E9A" w:rsidRDefault="00C85B37" w:rsidP="00C85B37">
      <w:pPr>
        <w:pStyle w:val="Body"/>
        <w:widowControl w:val="0"/>
        <w:rPr>
          <w:rFonts w:cs="Times New Roman"/>
          <w:b/>
        </w:rPr>
      </w:pPr>
    </w:p>
    <w:p w14:paraId="69A448AA" w14:textId="19A3C61B" w:rsidR="002E15CC" w:rsidRDefault="002E15CC" w:rsidP="000C2E71">
      <w:pPr>
        <w:pStyle w:val="Body"/>
        <w:widowControl w:val="0"/>
        <w:numPr>
          <w:ilvl w:val="1"/>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hanging="540"/>
        <w:rPr>
          <w:rFonts w:cs="Times New Roman"/>
        </w:rPr>
      </w:pPr>
      <w:r w:rsidRPr="00F92E9A">
        <w:rPr>
          <w:rFonts w:cs="Times New Roman"/>
        </w:rPr>
        <w:t xml:space="preserve">CAEP and the </w:t>
      </w:r>
      <w:r w:rsidR="00466640" w:rsidRPr="00F92E9A">
        <w:rPr>
          <w:rFonts w:cs="Times New Roman"/>
        </w:rPr>
        <w:t>State</w:t>
      </w:r>
      <w:r w:rsidRPr="00F92E9A">
        <w:rPr>
          <w:rFonts w:cs="Times New Roman"/>
        </w:rPr>
        <w:t xml:space="preserve"> enter into this</w:t>
      </w:r>
      <w:r w:rsidR="00466640" w:rsidRPr="00F92E9A">
        <w:rPr>
          <w:rFonts w:cs="Times New Roman"/>
        </w:rPr>
        <w:t xml:space="preserve"> partnership agreement for the </w:t>
      </w:r>
      <w:r w:rsidR="00E9400B">
        <w:rPr>
          <w:rFonts w:cs="Times New Roman"/>
        </w:rPr>
        <w:t>five</w:t>
      </w:r>
      <w:r w:rsidR="00466640" w:rsidRPr="00F92E9A">
        <w:rPr>
          <w:rFonts w:cs="Times New Roman"/>
        </w:rPr>
        <w:t xml:space="preserve"> (</w:t>
      </w:r>
      <w:r w:rsidR="00E9400B">
        <w:rPr>
          <w:rFonts w:cs="Times New Roman"/>
        </w:rPr>
        <w:t>5</w:t>
      </w:r>
      <w:r w:rsidR="00466640" w:rsidRPr="00F92E9A">
        <w:rPr>
          <w:rFonts w:cs="Times New Roman"/>
        </w:rPr>
        <w:t>)</w:t>
      </w:r>
      <w:r w:rsidRPr="00F92E9A">
        <w:rPr>
          <w:rFonts w:cs="Times New Roman"/>
        </w:rPr>
        <w:t xml:space="preserve">-year period beginning </w:t>
      </w:r>
      <w:r w:rsidR="0084760F">
        <w:rPr>
          <w:rFonts w:cs="Times New Roman"/>
        </w:rPr>
        <w:t>July</w:t>
      </w:r>
      <w:r w:rsidR="001F68C6">
        <w:rPr>
          <w:rFonts w:cs="Times New Roman"/>
        </w:rPr>
        <w:t xml:space="preserve">, </w:t>
      </w:r>
      <w:r w:rsidR="0084760F">
        <w:rPr>
          <w:rFonts w:cs="Times New Roman"/>
        </w:rPr>
        <w:t>1</w:t>
      </w:r>
      <w:r w:rsidR="001F68C6">
        <w:rPr>
          <w:rFonts w:cs="Times New Roman"/>
        </w:rPr>
        <w:t>, 20</w:t>
      </w:r>
      <w:r w:rsidR="0084760F">
        <w:rPr>
          <w:rFonts w:cs="Times New Roman"/>
        </w:rPr>
        <w:t>23</w:t>
      </w:r>
      <w:r w:rsidR="001F68C6">
        <w:rPr>
          <w:rFonts w:cs="Times New Roman"/>
        </w:rPr>
        <w:t xml:space="preserve"> </w:t>
      </w:r>
      <w:r w:rsidRPr="00F92E9A">
        <w:rPr>
          <w:rFonts w:cs="Times New Roman"/>
        </w:rPr>
        <w:t xml:space="preserve">and ending on </w:t>
      </w:r>
      <w:r w:rsidR="0084760F">
        <w:rPr>
          <w:rFonts w:cs="Times New Roman"/>
        </w:rPr>
        <w:t>June 30</w:t>
      </w:r>
      <w:r w:rsidR="00E9400B">
        <w:rPr>
          <w:rFonts w:cs="Times New Roman"/>
        </w:rPr>
        <w:t>, 20</w:t>
      </w:r>
      <w:r w:rsidR="0084760F">
        <w:rPr>
          <w:rFonts w:cs="Times New Roman"/>
        </w:rPr>
        <w:t>28</w:t>
      </w:r>
      <w:r w:rsidRPr="00F92E9A">
        <w:rPr>
          <w:rFonts w:cs="Times New Roman"/>
        </w:rPr>
        <w:t xml:space="preserve">. </w:t>
      </w:r>
    </w:p>
    <w:p w14:paraId="3BA87B4D" w14:textId="77777777" w:rsidR="00DA47ED" w:rsidRPr="00F92E9A" w:rsidRDefault="00DA47ED" w:rsidP="000C2E71">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hanging="540"/>
        <w:rPr>
          <w:rFonts w:cs="Times New Roman"/>
        </w:rPr>
      </w:pPr>
    </w:p>
    <w:p w14:paraId="61680766" w14:textId="3E496FB2" w:rsidR="00466640" w:rsidRDefault="00466640" w:rsidP="000C2E71">
      <w:pPr>
        <w:pStyle w:val="Body"/>
        <w:widowControl w:val="0"/>
        <w:numPr>
          <w:ilvl w:val="1"/>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hanging="540"/>
        <w:rPr>
          <w:rFonts w:cs="Times New Roman"/>
        </w:rPr>
      </w:pPr>
      <w:r w:rsidRPr="00F92E9A">
        <w:rPr>
          <w:rFonts w:cs="Times New Roman"/>
        </w:rPr>
        <w:t xml:space="preserve">The Parties </w:t>
      </w:r>
      <w:r w:rsidR="00010A4E">
        <w:rPr>
          <w:rFonts w:cs="Times New Roman"/>
        </w:rPr>
        <w:t>will</w:t>
      </w:r>
      <w:r w:rsidRPr="00F92E9A">
        <w:rPr>
          <w:rFonts w:cs="Times New Roman"/>
        </w:rPr>
        <w:t xml:space="preserve"> review this agreement at least</w:t>
      </w:r>
      <w:r w:rsidR="00131980">
        <w:rPr>
          <w:rFonts w:cs="Times New Roman"/>
        </w:rPr>
        <w:t xml:space="preserve"> annually and, as necessary, </w:t>
      </w:r>
      <w:r w:rsidRPr="00F92E9A">
        <w:rPr>
          <w:rFonts w:cs="Times New Roman"/>
        </w:rPr>
        <w:t>propose any amendment deemed appropriate and which may be adopted upon the agreement of the Parties.</w:t>
      </w:r>
    </w:p>
    <w:p w14:paraId="07866D48" w14:textId="77777777" w:rsidR="00DA47ED" w:rsidRDefault="00DA47ED" w:rsidP="000C2E71">
      <w:pPr>
        <w:pStyle w:val="ListParagraph"/>
        <w:ind w:left="540" w:hanging="540"/>
        <w:rPr>
          <w:rFonts w:cs="Times New Roman"/>
        </w:rPr>
      </w:pPr>
    </w:p>
    <w:p w14:paraId="0F7B9126" w14:textId="77777777" w:rsidR="00317586" w:rsidRDefault="00317586" w:rsidP="000C2E71">
      <w:pPr>
        <w:pStyle w:val="ListParagraph"/>
        <w:ind w:left="540" w:hanging="540"/>
        <w:rPr>
          <w:rFonts w:cs="Times New Roman"/>
        </w:rPr>
      </w:pPr>
    </w:p>
    <w:p w14:paraId="7C932717" w14:textId="77777777" w:rsidR="00767DCF" w:rsidRDefault="002E15CC" w:rsidP="000C2E71">
      <w:pPr>
        <w:pStyle w:val="ListParagraph"/>
        <w:widowControl w:val="0"/>
        <w:numPr>
          <w:ilvl w:val="1"/>
          <w:numId w:val="11"/>
        </w:numPr>
        <w:ind w:left="540" w:hanging="540"/>
      </w:pPr>
      <w:r w:rsidRPr="00F92E9A">
        <w:t xml:space="preserve">Notwithstanding the annual review described above, this agreement may be modified by </w:t>
      </w:r>
      <w:r w:rsidR="00767DCF">
        <w:t xml:space="preserve">mutual </w:t>
      </w:r>
      <w:r w:rsidRPr="00F92E9A">
        <w:t>consent of the</w:t>
      </w:r>
      <w:r w:rsidR="001A4DC3" w:rsidRPr="00F92E9A">
        <w:t xml:space="preserve"> </w:t>
      </w:r>
      <w:r w:rsidRPr="00F92E9A">
        <w:t>P</w:t>
      </w:r>
      <w:r w:rsidR="001A4DC3" w:rsidRPr="00F92E9A">
        <w:t>arties at any point.</w:t>
      </w:r>
    </w:p>
    <w:p w14:paraId="344FA49A" w14:textId="77777777" w:rsidR="00767DCF" w:rsidRPr="00C546B0" w:rsidRDefault="00767DCF" w:rsidP="00C546B0">
      <w:pPr>
        <w:pStyle w:val="ListParagraph"/>
        <w:rPr>
          <w:u w:val="single"/>
        </w:rPr>
      </w:pPr>
    </w:p>
    <w:p w14:paraId="74382189" w14:textId="7E7228C6" w:rsidR="00767DCF" w:rsidRDefault="00767DCF" w:rsidP="00C546B0">
      <w:pPr>
        <w:pStyle w:val="ListParagraph"/>
        <w:widowControl w:val="0"/>
        <w:numPr>
          <w:ilvl w:val="1"/>
          <w:numId w:val="11"/>
        </w:numPr>
        <w:ind w:left="432"/>
      </w:pPr>
      <w:r w:rsidRPr="00C546B0">
        <w:rPr>
          <w:u w:val="single"/>
        </w:rPr>
        <w:t>General Indemnification</w:t>
      </w:r>
      <w:r w:rsidRPr="00C531BA">
        <w:t>.</w:t>
      </w:r>
    </w:p>
    <w:p w14:paraId="286B7A42" w14:textId="77777777" w:rsidR="00767DCF" w:rsidRDefault="00767DCF" w:rsidP="00767DCF">
      <w:pPr>
        <w:pStyle w:val="ListParagraph"/>
        <w:rPr>
          <w:u w:val="single"/>
        </w:rPr>
      </w:pPr>
    </w:p>
    <w:p w14:paraId="3E3E089F" w14:textId="448853B8" w:rsidR="00767DCF" w:rsidRDefault="0043140A" w:rsidP="00C546B0">
      <w:pPr>
        <w:pStyle w:val="BodyText"/>
        <w:numPr>
          <w:ilvl w:val="2"/>
          <w:numId w:val="11"/>
        </w:numPr>
        <w:contextualSpacing/>
        <w:jc w:val="both"/>
      </w:pPr>
      <w:r>
        <w:rPr>
          <w:u w:val="single"/>
        </w:rPr>
        <w:lastRenderedPageBreak/>
        <w:t xml:space="preserve">CAEP </w:t>
      </w:r>
      <w:r w:rsidR="00887B51">
        <w:rPr>
          <w:u w:val="single"/>
        </w:rPr>
        <w:t>Board</w:t>
      </w:r>
      <w:r w:rsidR="00767DCF" w:rsidRPr="00C531BA">
        <w:rPr>
          <w:u w:val="single"/>
        </w:rPr>
        <w:t xml:space="preserve"> Indemnification</w:t>
      </w:r>
      <w:r w:rsidR="00767DCF" w:rsidRPr="00C531BA">
        <w:t xml:space="preserve">. </w:t>
      </w:r>
      <w:r>
        <w:t xml:space="preserve">The CAEP </w:t>
      </w:r>
      <w:r w:rsidR="00887B51">
        <w:t>Board</w:t>
      </w:r>
      <w:r w:rsidR="00767DCF" w:rsidRPr="00C531BA">
        <w:t xml:space="preserve"> shall indemnify, defend, and save harmless the </w:t>
      </w:r>
      <w:r w:rsidR="00767DCF">
        <w:t>State</w:t>
      </w:r>
      <w:r w:rsidR="00767DCF" w:rsidRPr="00C531BA">
        <w:t>, its officers, agents, employees, and volunteers from and against any and all liability, claims, damages, losses, expenses, actions, settlements, attorneys’ fees, and suits whatsoever caused by, arising out of,</w:t>
      </w:r>
      <w:r w:rsidR="00767DCF" w:rsidRPr="00C531BA">
        <w:rPr>
          <w:spacing w:val="-31"/>
        </w:rPr>
        <w:t xml:space="preserve"> </w:t>
      </w:r>
      <w:r w:rsidR="00767DCF" w:rsidRPr="00C531BA">
        <w:t>or in connection with</w:t>
      </w:r>
      <w:r>
        <w:t xml:space="preserve"> the CAEP</w:t>
      </w:r>
      <w:r w:rsidR="00767DCF" w:rsidRPr="00C531BA">
        <w:t xml:space="preserve"> </w:t>
      </w:r>
      <w:r w:rsidR="00887B51">
        <w:t>Board</w:t>
      </w:r>
      <w:r w:rsidR="00767DCF" w:rsidRPr="00C531BA">
        <w:t xml:space="preserve">’s acts or omissions under this Agreement or </w:t>
      </w:r>
      <w:r>
        <w:t xml:space="preserve">CAEP </w:t>
      </w:r>
      <w:r w:rsidR="00887B51">
        <w:t>Board</w:t>
      </w:r>
      <w:r w:rsidR="00767DCF" w:rsidRPr="00C531BA">
        <w:t>’s failure to comply with any state or federal statute, law, regulation, or</w:t>
      </w:r>
      <w:r w:rsidR="00767DCF" w:rsidRPr="00C531BA">
        <w:rPr>
          <w:spacing w:val="-11"/>
        </w:rPr>
        <w:t xml:space="preserve"> </w:t>
      </w:r>
      <w:r w:rsidR="00767DCF" w:rsidRPr="00C531BA">
        <w:t>rule during performance or applicable to the performance of the Agreement.</w:t>
      </w:r>
    </w:p>
    <w:p w14:paraId="6CDDA303" w14:textId="77777777" w:rsidR="00767DCF" w:rsidRDefault="00767DCF" w:rsidP="00767DCF">
      <w:pPr>
        <w:pStyle w:val="BodyText"/>
        <w:ind w:left="360"/>
        <w:contextualSpacing/>
        <w:jc w:val="both"/>
      </w:pPr>
    </w:p>
    <w:p w14:paraId="0DC38F79" w14:textId="4E641C6A" w:rsidR="00767DCF" w:rsidRDefault="00767DCF" w:rsidP="00C546B0">
      <w:pPr>
        <w:pStyle w:val="BodyText"/>
        <w:numPr>
          <w:ilvl w:val="2"/>
          <w:numId w:val="11"/>
        </w:numPr>
        <w:contextualSpacing/>
        <w:jc w:val="both"/>
      </w:pPr>
      <w:r w:rsidRPr="00C531BA">
        <w:rPr>
          <w:u w:val="single"/>
        </w:rPr>
        <w:t>Actions on Tender; Limitations</w:t>
      </w:r>
      <w:r w:rsidRPr="00C531BA">
        <w:t xml:space="preserve">. Upon receipt of the </w:t>
      </w:r>
      <w:r>
        <w:t>State</w:t>
      </w:r>
      <w:r w:rsidRPr="00C531BA">
        <w:t xml:space="preserve">’s tender of indemnity and defense, </w:t>
      </w:r>
      <w:r w:rsidR="0043140A">
        <w:t xml:space="preserve">the CAEP </w:t>
      </w:r>
      <w:r w:rsidR="00887B51">
        <w:t>Board</w:t>
      </w:r>
      <w:r w:rsidRPr="00C531BA">
        <w:t xml:space="preserve"> shall immediately</w:t>
      </w:r>
      <w:r w:rsidRPr="00C531BA">
        <w:rPr>
          <w:spacing w:val="-14"/>
        </w:rPr>
        <w:t xml:space="preserve"> </w:t>
      </w:r>
      <w:r w:rsidRPr="00C531BA">
        <w:t>take</w:t>
      </w:r>
      <w:r w:rsidRPr="00C531BA">
        <w:rPr>
          <w:spacing w:val="-10"/>
        </w:rPr>
        <w:t xml:space="preserve"> </w:t>
      </w:r>
      <w:r w:rsidRPr="00C531BA">
        <w:t>all</w:t>
      </w:r>
      <w:r w:rsidRPr="00C531BA">
        <w:rPr>
          <w:spacing w:val="-9"/>
        </w:rPr>
        <w:t xml:space="preserve"> </w:t>
      </w:r>
      <w:r w:rsidRPr="00C531BA">
        <w:t>reasonable</w:t>
      </w:r>
      <w:r w:rsidRPr="00C531BA">
        <w:rPr>
          <w:spacing w:val="-10"/>
        </w:rPr>
        <w:t xml:space="preserve"> </w:t>
      </w:r>
      <w:r w:rsidRPr="00C531BA">
        <w:t>actions</w:t>
      </w:r>
      <w:r w:rsidRPr="00C531BA">
        <w:rPr>
          <w:spacing w:val="-9"/>
        </w:rPr>
        <w:t xml:space="preserve"> </w:t>
      </w:r>
      <w:r w:rsidRPr="00C531BA">
        <w:t>necessary,</w:t>
      </w:r>
      <w:r w:rsidRPr="00C531BA">
        <w:rPr>
          <w:spacing w:val="-6"/>
        </w:rPr>
        <w:t xml:space="preserve"> </w:t>
      </w:r>
      <w:r w:rsidRPr="00C531BA">
        <w:t>including,</w:t>
      </w:r>
      <w:r w:rsidRPr="00C531BA">
        <w:rPr>
          <w:spacing w:val="-10"/>
        </w:rPr>
        <w:t xml:space="preserve"> </w:t>
      </w:r>
      <w:r w:rsidRPr="00C531BA">
        <w:t>but</w:t>
      </w:r>
      <w:r w:rsidRPr="00C531BA">
        <w:rPr>
          <w:spacing w:val="-8"/>
        </w:rPr>
        <w:t xml:space="preserve"> </w:t>
      </w:r>
      <w:r w:rsidRPr="00C531BA">
        <w:t>not</w:t>
      </w:r>
      <w:r w:rsidRPr="00C531BA">
        <w:rPr>
          <w:spacing w:val="-9"/>
        </w:rPr>
        <w:t xml:space="preserve"> </w:t>
      </w:r>
      <w:r w:rsidRPr="00C531BA">
        <w:t>limited</w:t>
      </w:r>
      <w:r w:rsidRPr="00C531BA">
        <w:rPr>
          <w:spacing w:val="-9"/>
        </w:rPr>
        <w:t xml:space="preserve"> </w:t>
      </w:r>
      <w:r w:rsidRPr="00C531BA">
        <w:t>to,</w:t>
      </w:r>
      <w:r w:rsidRPr="00C531BA">
        <w:rPr>
          <w:spacing w:val="-10"/>
        </w:rPr>
        <w:t xml:space="preserve"> </w:t>
      </w:r>
      <w:r w:rsidRPr="00C531BA">
        <w:t>providing</w:t>
      </w:r>
      <w:r w:rsidRPr="00C531BA">
        <w:rPr>
          <w:spacing w:val="-11"/>
        </w:rPr>
        <w:t xml:space="preserve"> </w:t>
      </w:r>
      <w:r w:rsidRPr="00C531BA">
        <w:t>a</w:t>
      </w:r>
      <w:r w:rsidRPr="00C531BA">
        <w:rPr>
          <w:spacing w:val="-11"/>
        </w:rPr>
        <w:t xml:space="preserve"> </w:t>
      </w:r>
      <w:r w:rsidRPr="00C531BA">
        <w:t xml:space="preserve">legal defense for the </w:t>
      </w:r>
      <w:r>
        <w:t>State</w:t>
      </w:r>
      <w:r w:rsidRPr="00C531BA">
        <w:t xml:space="preserve">, to begin fulfilling its obligation to indemnify, defend, and save harmless the </w:t>
      </w:r>
      <w:r>
        <w:t>State</w:t>
      </w:r>
      <w:r w:rsidRPr="00C531BA">
        <w:t xml:space="preserve">. </w:t>
      </w:r>
      <w:r w:rsidR="0043140A">
        <w:t xml:space="preserve">The CAEP </w:t>
      </w:r>
      <w:r w:rsidR="00887B51">
        <w:t>Board</w:t>
      </w:r>
      <w:r w:rsidRPr="00C531BA">
        <w:t xml:space="preserve">’s indemnification and defense liabilities described herein shall apply regardless of any allegations that a claim or suit is attributable in whole or in part to any act or omission of the </w:t>
      </w:r>
      <w:r>
        <w:t>State</w:t>
      </w:r>
      <w:r w:rsidRPr="00C531BA">
        <w:t xml:space="preserve"> under this Agreement. </w:t>
      </w:r>
      <w:r w:rsidR="00887B51">
        <w:t xml:space="preserve">The </w:t>
      </w:r>
      <w:r w:rsidR="0043140A">
        <w:t xml:space="preserve">CAEP </w:t>
      </w:r>
      <w:r w:rsidR="00887B51">
        <w:t>Board</w:t>
      </w:r>
      <w:r w:rsidRPr="00C531BA">
        <w:t xml:space="preserve"> shall not be required to hold the </w:t>
      </w:r>
      <w:r>
        <w:t>State</w:t>
      </w:r>
      <w:r w:rsidRPr="00C531BA">
        <w:t xml:space="preserve"> harmless for damages attributed to the </w:t>
      </w:r>
      <w:r>
        <w:t>State</w:t>
      </w:r>
      <w:r w:rsidRPr="00C531BA">
        <w:t xml:space="preserve"> in a final order issued by a court of competent jurisdiction. If it is determined by a final judgment that the </w:t>
      </w:r>
      <w:r>
        <w:t>State</w:t>
      </w:r>
      <w:r w:rsidRPr="00C531BA">
        <w:t xml:space="preserve">’s negligent act or omission is the sole proximate cause of a suit or claim, the </w:t>
      </w:r>
      <w:r>
        <w:t>State</w:t>
      </w:r>
      <w:r w:rsidRPr="00C531BA">
        <w:t>, to the extent funds are legally available therefor, shall reimburse</w:t>
      </w:r>
      <w:r w:rsidR="0043140A">
        <w:t xml:space="preserve"> the CAEP</w:t>
      </w:r>
      <w:r w:rsidRPr="00C531BA">
        <w:t xml:space="preserve"> </w:t>
      </w:r>
      <w:r w:rsidR="00887B51">
        <w:t>Board</w:t>
      </w:r>
      <w:r w:rsidRPr="00C531BA">
        <w:t xml:space="preserve"> for reasonable defense costs attributable to the</w:t>
      </w:r>
      <w:r w:rsidRPr="00C531BA">
        <w:rPr>
          <w:spacing w:val="-14"/>
        </w:rPr>
        <w:t xml:space="preserve"> </w:t>
      </w:r>
      <w:r w:rsidRPr="00C531BA">
        <w:t>defense</w:t>
      </w:r>
      <w:r w:rsidRPr="00C531BA">
        <w:rPr>
          <w:spacing w:val="-13"/>
        </w:rPr>
        <w:t xml:space="preserve"> </w:t>
      </w:r>
      <w:r w:rsidRPr="00C531BA">
        <w:t>provided</w:t>
      </w:r>
      <w:r w:rsidRPr="00C531BA">
        <w:rPr>
          <w:spacing w:val="-12"/>
        </w:rPr>
        <w:t xml:space="preserve"> </w:t>
      </w:r>
      <w:r w:rsidRPr="00C531BA">
        <w:t>by</w:t>
      </w:r>
      <w:r w:rsidRPr="00C531BA">
        <w:rPr>
          <w:spacing w:val="-18"/>
        </w:rPr>
        <w:t xml:space="preserve"> </w:t>
      </w:r>
      <w:r w:rsidRPr="00C531BA">
        <w:t>any</w:t>
      </w:r>
      <w:r w:rsidRPr="00C531BA">
        <w:rPr>
          <w:spacing w:val="-17"/>
        </w:rPr>
        <w:t xml:space="preserve"> </w:t>
      </w:r>
      <w:r w:rsidRPr="00C531BA">
        <w:t>Special</w:t>
      </w:r>
      <w:r w:rsidRPr="00C531BA">
        <w:rPr>
          <w:spacing w:val="-12"/>
        </w:rPr>
        <w:t xml:space="preserve"> </w:t>
      </w:r>
      <w:r w:rsidRPr="00C531BA">
        <w:t>Deputy</w:t>
      </w:r>
      <w:r w:rsidRPr="00C531BA">
        <w:rPr>
          <w:spacing w:val="-16"/>
        </w:rPr>
        <w:t xml:space="preserve"> </w:t>
      </w:r>
      <w:r w:rsidRPr="00C531BA">
        <w:t>Attorney</w:t>
      </w:r>
      <w:r w:rsidRPr="00C531BA">
        <w:rPr>
          <w:spacing w:val="-17"/>
        </w:rPr>
        <w:t xml:space="preserve"> </w:t>
      </w:r>
      <w:r w:rsidRPr="00C531BA">
        <w:t>General</w:t>
      </w:r>
      <w:r w:rsidRPr="00C531BA">
        <w:rPr>
          <w:spacing w:val="-12"/>
        </w:rPr>
        <w:t xml:space="preserve"> </w:t>
      </w:r>
      <w:r w:rsidRPr="00C531BA">
        <w:t>appointed</w:t>
      </w:r>
      <w:r w:rsidRPr="00C531BA">
        <w:rPr>
          <w:spacing w:val="-12"/>
        </w:rPr>
        <w:t xml:space="preserve"> </w:t>
      </w:r>
      <w:r w:rsidRPr="00C531BA">
        <w:t>pursuant</w:t>
      </w:r>
      <w:r w:rsidRPr="00C531BA">
        <w:rPr>
          <w:spacing w:val="-13"/>
        </w:rPr>
        <w:t xml:space="preserve"> </w:t>
      </w:r>
      <w:r w:rsidRPr="00C531BA">
        <w:t>to</w:t>
      </w:r>
      <w:r w:rsidRPr="00C531BA">
        <w:rPr>
          <w:spacing w:val="-12"/>
        </w:rPr>
        <w:t xml:space="preserve"> </w:t>
      </w:r>
      <w:r>
        <w:rPr>
          <w:spacing w:val="-12"/>
        </w:rPr>
        <w:t>sub</w:t>
      </w:r>
      <w:r w:rsidRPr="00C531BA">
        <w:t>section</w:t>
      </w:r>
      <w:r w:rsidRPr="00C531BA">
        <w:rPr>
          <w:spacing w:val="-12"/>
        </w:rPr>
        <w:t xml:space="preserve"> </w:t>
      </w:r>
      <w:r>
        <w:fldChar w:fldCharType="begin"/>
      </w:r>
      <w:r>
        <w:rPr>
          <w:spacing w:val="-12"/>
        </w:rPr>
        <w:instrText xml:space="preserve"> REF _Ref86401899 \r \h </w:instrText>
      </w:r>
      <w:r>
        <w:fldChar w:fldCharType="separate"/>
      </w:r>
      <w:r>
        <w:rPr>
          <w:spacing w:val="-12"/>
        </w:rPr>
        <w:t>15.3</w:t>
      </w:r>
      <w:r>
        <w:fldChar w:fldCharType="end"/>
      </w:r>
      <w:r>
        <w:t xml:space="preserve"> (Requirements of Defense)</w:t>
      </w:r>
      <w:r w:rsidRPr="00C531BA">
        <w:t>.</w:t>
      </w:r>
    </w:p>
    <w:p w14:paraId="2263BF4B" w14:textId="77777777" w:rsidR="00767DCF" w:rsidRDefault="00767DCF" w:rsidP="00767DCF">
      <w:pPr>
        <w:pStyle w:val="BodyText"/>
        <w:ind w:left="360"/>
        <w:contextualSpacing/>
        <w:jc w:val="both"/>
      </w:pPr>
    </w:p>
    <w:p w14:paraId="62E5C9F6" w14:textId="707EE30A" w:rsidR="004819E1" w:rsidRDefault="00767DCF" w:rsidP="004819E1">
      <w:pPr>
        <w:pStyle w:val="BodyText"/>
        <w:numPr>
          <w:ilvl w:val="2"/>
          <w:numId w:val="11"/>
        </w:numPr>
        <w:contextualSpacing/>
        <w:jc w:val="both"/>
      </w:pPr>
      <w:bookmarkStart w:id="1" w:name="_Ref86401899"/>
      <w:r w:rsidRPr="00C531BA">
        <w:rPr>
          <w:u w:val="single"/>
        </w:rPr>
        <w:t>Requirements of Defense</w:t>
      </w:r>
      <w:r w:rsidRPr="00C531BA">
        <w:t>. Any</w:t>
      </w:r>
      <w:r w:rsidRPr="00C531BA">
        <w:rPr>
          <w:spacing w:val="-8"/>
        </w:rPr>
        <w:t xml:space="preserve"> </w:t>
      </w:r>
      <w:r w:rsidRPr="00C531BA">
        <w:t>legal</w:t>
      </w:r>
      <w:r w:rsidRPr="00C531BA">
        <w:rPr>
          <w:spacing w:val="-2"/>
        </w:rPr>
        <w:t xml:space="preserve"> </w:t>
      </w:r>
      <w:r w:rsidRPr="00C531BA">
        <w:t>defense</w:t>
      </w:r>
      <w:r w:rsidRPr="00C531BA">
        <w:rPr>
          <w:spacing w:val="-3"/>
        </w:rPr>
        <w:t xml:space="preserve"> </w:t>
      </w:r>
      <w:r w:rsidRPr="00C531BA">
        <w:t>provided</w:t>
      </w:r>
      <w:r w:rsidRPr="00C531BA">
        <w:rPr>
          <w:spacing w:val="-3"/>
        </w:rPr>
        <w:t xml:space="preserve"> </w:t>
      </w:r>
      <w:r w:rsidRPr="00C531BA">
        <w:t>by</w:t>
      </w:r>
      <w:r w:rsidRPr="00C531BA">
        <w:rPr>
          <w:spacing w:val="-7"/>
        </w:rPr>
        <w:t xml:space="preserve"> </w:t>
      </w:r>
      <w:r w:rsidR="00887B51">
        <w:rPr>
          <w:spacing w:val="-7"/>
        </w:rPr>
        <w:t xml:space="preserve">the </w:t>
      </w:r>
      <w:r w:rsidR="0043140A">
        <w:rPr>
          <w:spacing w:val="-7"/>
        </w:rPr>
        <w:t xml:space="preserve">CAEP </w:t>
      </w:r>
      <w:r w:rsidR="00887B51">
        <w:t>Board</w:t>
      </w:r>
      <w:r w:rsidRPr="00C531BA">
        <w:rPr>
          <w:spacing w:val="-4"/>
        </w:rPr>
        <w:t xml:space="preserve"> </w:t>
      </w:r>
      <w:r w:rsidRPr="00C531BA">
        <w:t>to</w:t>
      </w:r>
      <w:r w:rsidRPr="00C531BA">
        <w:rPr>
          <w:spacing w:val="-3"/>
        </w:rPr>
        <w:t xml:space="preserve"> </w:t>
      </w:r>
      <w:r w:rsidRPr="00C531BA">
        <w:t>the</w:t>
      </w:r>
      <w:r w:rsidRPr="00C531BA">
        <w:rPr>
          <w:spacing w:val="-3"/>
        </w:rPr>
        <w:t xml:space="preserve"> </w:t>
      </w:r>
      <w:r>
        <w:t>State</w:t>
      </w:r>
      <w:r w:rsidRPr="00C531BA">
        <w:rPr>
          <w:spacing w:val="-4"/>
        </w:rPr>
        <w:t xml:space="preserve"> </w:t>
      </w:r>
      <w:r w:rsidRPr="00C531BA">
        <w:t>under this</w:t>
      </w:r>
      <w:r w:rsidRPr="00C531BA">
        <w:rPr>
          <w:spacing w:val="-3"/>
        </w:rPr>
        <w:t xml:space="preserve"> </w:t>
      </w:r>
      <w:r w:rsidRPr="00C531BA">
        <w:t>section</w:t>
      </w:r>
      <w:r w:rsidRPr="00C531BA">
        <w:rPr>
          <w:spacing w:val="-3"/>
        </w:rPr>
        <w:t xml:space="preserve"> </w:t>
      </w:r>
      <w:r w:rsidRPr="00C531BA">
        <w:t>must</w:t>
      </w:r>
      <w:r w:rsidRPr="00C531BA">
        <w:rPr>
          <w:spacing w:val="-1"/>
        </w:rPr>
        <w:t xml:space="preserve"> </w:t>
      </w:r>
      <w:r w:rsidRPr="00C531BA">
        <w:t>be</w:t>
      </w:r>
      <w:r w:rsidRPr="00C531BA">
        <w:rPr>
          <w:spacing w:val="-4"/>
        </w:rPr>
        <w:t xml:space="preserve"> </w:t>
      </w:r>
      <w:r w:rsidRPr="00C531BA">
        <w:t xml:space="preserve">free of any conflicts of interest, even if retention of separate legal counsel for the </w:t>
      </w:r>
      <w:r>
        <w:t>State</w:t>
      </w:r>
      <w:r w:rsidRPr="00C531BA">
        <w:t xml:space="preserve"> is necessary. Any attorney appointed to represent the </w:t>
      </w:r>
      <w:r>
        <w:t>State</w:t>
      </w:r>
      <w:r w:rsidRPr="00C531BA">
        <w:t xml:space="preserve"> must first qualify as and be appointed by the Attorney General of the State of Idaho as a Special Deputy Attorney General pursuant to Idaho Code sections 67-1401(13) and</w:t>
      </w:r>
      <w:r w:rsidRPr="00C531BA">
        <w:rPr>
          <w:spacing w:val="-3"/>
        </w:rPr>
        <w:t xml:space="preserve"> </w:t>
      </w:r>
      <w:r w:rsidRPr="00C531BA">
        <w:t>67-1409(1).</w:t>
      </w:r>
      <w:bookmarkEnd w:id="1"/>
    </w:p>
    <w:p w14:paraId="2481D1B6" w14:textId="77777777" w:rsidR="004819E1" w:rsidRDefault="004819E1" w:rsidP="00C546B0">
      <w:pPr>
        <w:pStyle w:val="ListParagraph"/>
        <w:rPr>
          <w:u w:val="single"/>
        </w:rPr>
      </w:pPr>
    </w:p>
    <w:p w14:paraId="2E1DD1AE" w14:textId="04BFCB49" w:rsidR="004819E1" w:rsidRDefault="004819E1" w:rsidP="00C546B0">
      <w:pPr>
        <w:pStyle w:val="BodyText"/>
        <w:numPr>
          <w:ilvl w:val="1"/>
          <w:numId w:val="11"/>
        </w:numPr>
        <w:ind w:left="720" w:hanging="720"/>
        <w:contextualSpacing/>
        <w:jc w:val="both"/>
      </w:pPr>
      <w:r w:rsidRPr="004819E1">
        <w:rPr>
          <w:u w:val="single"/>
        </w:rPr>
        <w:t>Public Records</w:t>
      </w:r>
      <w:r w:rsidRPr="00C531BA">
        <w:t xml:space="preserve">. Pursuant to </w:t>
      </w:r>
      <w:r>
        <w:t xml:space="preserve">the Idaho Public Records Act, </w:t>
      </w:r>
      <w:r w:rsidRPr="00C531BA">
        <w:t xml:space="preserve">Idaho Code section 74-101 </w:t>
      </w:r>
      <w:r w:rsidRPr="004819E1">
        <w:rPr>
          <w:i/>
        </w:rPr>
        <w:t>et seq</w:t>
      </w:r>
      <w:r w:rsidRPr="00C531BA">
        <w:t xml:space="preserve">., </w:t>
      </w:r>
      <w:r>
        <w:t>records, including</w:t>
      </w:r>
      <w:r w:rsidRPr="00C531BA">
        <w:t xml:space="preserve"> documents </w:t>
      </w:r>
      <w:r>
        <w:t xml:space="preserve">in all forms, </w:t>
      </w:r>
      <w:r w:rsidRPr="00C531BA">
        <w:t>received from the</w:t>
      </w:r>
      <w:r w:rsidR="0043140A">
        <w:t xml:space="preserve"> CAEP</w:t>
      </w:r>
      <w:r w:rsidRPr="00C531BA">
        <w:t xml:space="preserve"> </w:t>
      </w:r>
      <w:r w:rsidR="00887B51">
        <w:t>Board</w:t>
      </w:r>
      <w:r w:rsidRPr="00C531BA">
        <w:t xml:space="preserve"> may be open to public inspection and copying unless exempt from disclosure. The </w:t>
      </w:r>
      <w:r w:rsidR="0043140A">
        <w:t xml:space="preserve">CAEP </w:t>
      </w:r>
      <w:r w:rsidR="00887B51">
        <w:t>Board</w:t>
      </w:r>
      <w:r w:rsidRPr="00C531BA">
        <w:t xml:space="preserve"> shall clearly designate individual documents as “exempt” </w:t>
      </w:r>
      <w:r>
        <w:t xml:space="preserve">on each page of the record containing exempt portions </w:t>
      </w:r>
      <w:r w:rsidRPr="00C531BA">
        <w:t xml:space="preserve">and shall indicate the basis </w:t>
      </w:r>
      <w:r>
        <w:t xml:space="preserve">in the Idaho Public Records Act </w:t>
      </w:r>
      <w:r w:rsidRPr="00C531BA">
        <w:t xml:space="preserve">for such exemption. </w:t>
      </w:r>
      <w:r>
        <w:t xml:space="preserve">The SDE </w:t>
      </w:r>
      <w:r w:rsidRPr="00B50DFE">
        <w:t xml:space="preserve">will not accept the marking of an entire record as exempt. In addition, </w:t>
      </w:r>
      <w:r>
        <w:t>the SDE</w:t>
      </w:r>
      <w:r w:rsidRPr="00B50DFE">
        <w:t xml:space="preserve"> will not accept a legend or statement on one (1) page that all, or substantially all, of the record is exempt from disclosure. </w:t>
      </w:r>
      <w:r w:rsidRPr="00C531BA">
        <w:t xml:space="preserve">The </w:t>
      </w:r>
      <w:r w:rsidR="0043140A">
        <w:t xml:space="preserve">CAEP </w:t>
      </w:r>
      <w:r w:rsidR="00887B51">
        <w:t>Board</w:t>
      </w:r>
      <w:r w:rsidRPr="00C531BA">
        <w:t xml:space="preserve"> </w:t>
      </w:r>
      <w:r>
        <w:t>shall</w:t>
      </w:r>
      <w:r w:rsidRPr="00C531BA">
        <w:t xml:space="preserve"> indemnify and defend the SDE for honoring</w:t>
      </w:r>
      <w:r w:rsidRPr="004819E1">
        <w:rPr>
          <w:spacing w:val="-9"/>
        </w:rPr>
        <w:t xml:space="preserve"> </w:t>
      </w:r>
      <w:r>
        <w:t xml:space="preserve">the </w:t>
      </w:r>
      <w:r w:rsidR="0043140A">
        <w:t xml:space="preserve">CAEP </w:t>
      </w:r>
      <w:r w:rsidR="00887B51">
        <w:t>Board</w:t>
      </w:r>
      <w:r>
        <w:t>’s</w:t>
      </w:r>
      <w:r w:rsidRPr="004819E1">
        <w:rPr>
          <w:spacing w:val="-6"/>
        </w:rPr>
        <w:t xml:space="preserve"> </w:t>
      </w:r>
      <w:r w:rsidRPr="00C531BA">
        <w:t>designation</w:t>
      </w:r>
      <w:r>
        <w:t xml:space="preserve"> of exemption</w:t>
      </w:r>
      <w:r w:rsidRPr="00B50DFE">
        <w:t xml:space="preserve"> or for the </w:t>
      </w:r>
      <w:r w:rsidR="0043140A">
        <w:t xml:space="preserve">CAEP </w:t>
      </w:r>
      <w:r w:rsidR="00887B51">
        <w:t>Board</w:t>
      </w:r>
      <w:r w:rsidRPr="00B50DFE">
        <w:t>’s failure to designate a record as exempt</w:t>
      </w:r>
      <w:r w:rsidRPr="00C531BA">
        <w:t>.</w:t>
      </w:r>
      <w:r w:rsidRPr="004819E1">
        <w:rPr>
          <w:spacing w:val="-6"/>
        </w:rPr>
        <w:t xml:space="preserve"> </w:t>
      </w:r>
      <w:r w:rsidRPr="00C531BA">
        <w:t>The</w:t>
      </w:r>
      <w:r w:rsidRPr="004819E1">
        <w:rPr>
          <w:spacing w:val="-6"/>
        </w:rPr>
        <w:t xml:space="preserve"> </w:t>
      </w:r>
      <w:r w:rsidR="0043140A">
        <w:rPr>
          <w:spacing w:val="-6"/>
        </w:rPr>
        <w:t xml:space="preserve">CAEP </w:t>
      </w:r>
      <w:r w:rsidR="00887B51">
        <w:rPr>
          <w:spacing w:val="-6"/>
        </w:rPr>
        <w:t>Board</w:t>
      </w:r>
      <w:r w:rsidRPr="004819E1">
        <w:rPr>
          <w:spacing w:val="-6"/>
        </w:rPr>
        <w:t xml:space="preserve">’s </w:t>
      </w:r>
      <w:r w:rsidRPr="00C531BA">
        <w:t>failure</w:t>
      </w:r>
      <w:r w:rsidRPr="004819E1">
        <w:rPr>
          <w:spacing w:val="-7"/>
        </w:rPr>
        <w:t xml:space="preserve"> </w:t>
      </w:r>
      <w:r w:rsidRPr="00C531BA">
        <w:t>to</w:t>
      </w:r>
      <w:r w:rsidRPr="004819E1">
        <w:rPr>
          <w:spacing w:val="-5"/>
        </w:rPr>
        <w:t xml:space="preserve"> </w:t>
      </w:r>
      <w:r w:rsidRPr="00C531BA">
        <w:t>designate</w:t>
      </w:r>
      <w:r w:rsidRPr="004819E1">
        <w:rPr>
          <w:spacing w:val="-7"/>
        </w:rPr>
        <w:t xml:space="preserve"> as exempt </w:t>
      </w:r>
      <w:r w:rsidRPr="00C531BA">
        <w:t>any</w:t>
      </w:r>
      <w:r w:rsidRPr="004819E1">
        <w:rPr>
          <w:spacing w:val="-10"/>
        </w:rPr>
        <w:t xml:space="preserve"> </w:t>
      </w:r>
      <w:r>
        <w:t>record or portion of a record</w:t>
      </w:r>
      <w:r w:rsidRPr="004819E1">
        <w:rPr>
          <w:spacing w:val="-6"/>
        </w:rPr>
        <w:t xml:space="preserve"> </w:t>
      </w:r>
      <w:r w:rsidRPr="00C531BA">
        <w:t>that</w:t>
      </w:r>
      <w:r w:rsidRPr="004819E1">
        <w:rPr>
          <w:spacing w:val="-5"/>
        </w:rPr>
        <w:t xml:space="preserve"> </w:t>
      </w:r>
      <w:r w:rsidRPr="000D301C">
        <w:t>is</w:t>
      </w:r>
      <w:r w:rsidRPr="004819E1">
        <w:rPr>
          <w:spacing w:val="-6"/>
        </w:rPr>
        <w:t xml:space="preserve"> </w:t>
      </w:r>
      <w:r w:rsidRPr="000D301C">
        <w:t>released</w:t>
      </w:r>
      <w:r w:rsidRPr="004819E1">
        <w:rPr>
          <w:spacing w:val="-6"/>
        </w:rPr>
        <w:t xml:space="preserve"> </w:t>
      </w:r>
      <w:r w:rsidRPr="000D301C">
        <w:t>by</w:t>
      </w:r>
      <w:r w:rsidRPr="004819E1">
        <w:rPr>
          <w:spacing w:val="-10"/>
        </w:rPr>
        <w:t xml:space="preserve"> </w:t>
      </w:r>
      <w:r w:rsidRPr="000D301C">
        <w:t>the</w:t>
      </w:r>
      <w:r w:rsidRPr="004819E1">
        <w:rPr>
          <w:spacing w:val="-7"/>
        </w:rPr>
        <w:t xml:space="preserve"> </w:t>
      </w:r>
      <w:r w:rsidRPr="000D301C">
        <w:t>SDE</w:t>
      </w:r>
      <w:r w:rsidRPr="004819E1">
        <w:rPr>
          <w:spacing w:val="-5"/>
        </w:rPr>
        <w:t xml:space="preserve"> </w:t>
      </w:r>
      <w:r w:rsidRPr="000D301C">
        <w:t>shall constitute</w:t>
      </w:r>
      <w:r w:rsidRPr="004819E1">
        <w:rPr>
          <w:spacing w:val="-14"/>
        </w:rPr>
        <w:t xml:space="preserve"> </w:t>
      </w:r>
      <w:r w:rsidRPr="000D301C">
        <w:t>a</w:t>
      </w:r>
      <w:r w:rsidRPr="004819E1">
        <w:rPr>
          <w:spacing w:val="-14"/>
        </w:rPr>
        <w:t xml:space="preserve"> </w:t>
      </w:r>
      <w:r w:rsidRPr="000D301C">
        <w:t>complete</w:t>
      </w:r>
      <w:r w:rsidRPr="004819E1">
        <w:rPr>
          <w:spacing w:val="-14"/>
        </w:rPr>
        <w:t xml:space="preserve"> </w:t>
      </w:r>
      <w:r w:rsidRPr="000D301C">
        <w:t>waiver</w:t>
      </w:r>
      <w:r w:rsidRPr="004819E1">
        <w:rPr>
          <w:spacing w:val="-14"/>
        </w:rPr>
        <w:t xml:space="preserve"> </w:t>
      </w:r>
      <w:r w:rsidRPr="000D301C">
        <w:t>of</w:t>
      </w:r>
      <w:r w:rsidRPr="004819E1">
        <w:rPr>
          <w:spacing w:val="-14"/>
        </w:rPr>
        <w:t xml:space="preserve"> </w:t>
      </w:r>
      <w:r w:rsidRPr="000B2EB4">
        <w:t>any</w:t>
      </w:r>
      <w:r w:rsidRPr="004819E1">
        <w:rPr>
          <w:spacing w:val="-17"/>
        </w:rPr>
        <w:t xml:space="preserve"> </w:t>
      </w:r>
      <w:r w:rsidRPr="000B2EB4">
        <w:t>and</w:t>
      </w:r>
      <w:r w:rsidRPr="004819E1">
        <w:rPr>
          <w:spacing w:val="-13"/>
        </w:rPr>
        <w:t xml:space="preserve"> </w:t>
      </w:r>
      <w:r w:rsidRPr="00E91A6B">
        <w:t>all</w:t>
      </w:r>
      <w:r w:rsidRPr="004819E1">
        <w:rPr>
          <w:spacing w:val="-13"/>
        </w:rPr>
        <w:t xml:space="preserve"> </w:t>
      </w:r>
      <w:r w:rsidRPr="00E91A6B">
        <w:t>claims</w:t>
      </w:r>
      <w:r w:rsidRPr="004819E1">
        <w:rPr>
          <w:spacing w:val="-13"/>
        </w:rPr>
        <w:t xml:space="preserve"> </w:t>
      </w:r>
      <w:r w:rsidRPr="00A81191">
        <w:t>for</w:t>
      </w:r>
      <w:r w:rsidRPr="004819E1">
        <w:rPr>
          <w:spacing w:val="-14"/>
        </w:rPr>
        <w:t xml:space="preserve"> </w:t>
      </w:r>
      <w:r w:rsidRPr="0011100B">
        <w:t>damages</w:t>
      </w:r>
      <w:r w:rsidRPr="004819E1">
        <w:rPr>
          <w:spacing w:val="-12"/>
        </w:rPr>
        <w:t xml:space="preserve"> </w:t>
      </w:r>
      <w:r w:rsidRPr="0011100B">
        <w:t>caused</w:t>
      </w:r>
      <w:r w:rsidRPr="004819E1">
        <w:rPr>
          <w:spacing w:val="-13"/>
        </w:rPr>
        <w:t xml:space="preserve"> </w:t>
      </w:r>
      <w:r w:rsidRPr="0011100B">
        <w:t>by</w:t>
      </w:r>
      <w:r w:rsidRPr="004819E1">
        <w:rPr>
          <w:spacing w:val="-18"/>
        </w:rPr>
        <w:t xml:space="preserve"> </w:t>
      </w:r>
      <w:r w:rsidRPr="0011100B">
        <w:t>any</w:t>
      </w:r>
      <w:r w:rsidRPr="004819E1">
        <w:rPr>
          <w:spacing w:val="-16"/>
        </w:rPr>
        <w:t xml:space="preserve"> </w:t>
      </w:r>
      <w:r w:rsidRPr="00A216E4">
        <w:t>such</w:t>
      </w:r>
      <w:r w:rsidRPr="004819E1">
        <w:rPr>
          <w:spacing w:val="-13"/>
        </w:rPr>
        <w:t xml:space="preserve"> </w:t>
      </w:r>
      <w:r w:rsidRPr="00DF378E">
        <w:t>release.</w:t>
      </w:r>
      <w:r w:rsidRPr="004819E1">
        <w:rPr>
          <w:spacing w:val="-10"/>
        </w:rPr>
        <w:t xml:space="preserve"> </w:t>
      </w:r>
      <w:r w:rsidRPr="00223855">
        <w:t>I</w:t>
      </w:r>
      <w:r>
        <w:t xml:space="preserve">f </w:t>
      </w:r>
      <w:r w:rsidRPr="000D301C">
        <w:t>the SDE honors a claim of exemption by the</w:t>
      </w:r>
      <w:r w:rsidR="0043140A">
        <w:t xml:space="preserve"> CAEP</w:t>
      </w:r>
      <w:r w:rsidRPr="000D301C">
        <w:t xml:space="preserve"> </w:t>
      </w:r>
      <w:r w:rsidR="00887B51">
        <w:t>Board</w:t>
      </w:r>
      <w:r w:rsidRPr="000B2EB4">
        <w:t xml:space="preserve">, the </w:t>
      </w:r>
      <w:r w:rsidR="0043140A">
        <w:t xml:space="preserve">CAEP </w:t>
      </w:r>
      <w:r w:rsidR="00887B51">
        <w:t>Board</w:t>
      </w:r>
      <w:r w:rsidRPr="000B2EB4">
        <w:t xml:space="preserve"> </w:t>
      </w:r>
      <w:r w:rsidRPr="00A81191">
        <w:t>shall provide the legal defense for such</w:t>
      </w:r>
      <w:r w:rsidRPr="004819E1">
        <w:rPr>
          <w:spacing w:val="-5"/>
        </w:rPr>
        <w:t xml:space="preserve"> </w:t>
      </w:r>
      <w:r w:rsidRPr="0011100B">
        <w:t>claim.</w:t>
      </w:r>
    </w:p>
    <w:p w14:paraId="29EAF89C" w14:textId="77777777" w:rsidR="004819E1" w:rsidRDefault="004819E1" w:rsidP="00C546B0">
      <w:pPr>
        <w:pStyle w:val="BodyText"/>
        <w:ind w:left="882"/>
        <w:contextualSpacing/>
        <w:jc w:val="both"/>
      </w:pPr>
    </w:p>
    <w:p w14:paraId="26414F2E" w14:textId="595F0A5F" w:rsidR="004819E1" w:rsidRDefault="004819E1" w:rsidP="00C546B0">
      <w:pPr>
        <w:pStyle w:val="BodyText"/>
        <w:numPr>
          <w:ilvl w:val="1"/>
          <w:numId w:val="11"/>
        </w:numPr>
        <w:ind w:left="720" w:hanging="720"/>
        <w:contextualSpacing/>
        <w:jc w:val="both"/>
      </w:pPr>
      <w:r w:rsidRPr="004819E1">
        <w:rPr>
          <w:u w:val="single"/>
        </w:rPr>
        <w:t>Records and</w:t>
      </w:r>
      <w:r w:rsidRPr="004819E1">
        <w:rPr>
          <w:spacing w:val="-1"/>
          <w:u w:val="single"/>
        </w:rPr>
        <w:t xml:space="preserve"> </w:t>
      </w:r>
      <w:r w:rsidRPr="004819E1">
        <w:rPr>
          <w:u w:val="single"/>
        </w:rPr>
        <w:t>Audits</w:t>
      </w:r>
      <w:r w:rsidRPr="00E46176">
        <w:t>.</w:t>
      </w:r>
    </w:p>
    <w:p w14:paraId="3287700D" w14:textId="77777777" w:rsidR="004819E1" w:rsidRDefault="004819E1" w:rsidP="004819E1">
      <w:pPr>
        <w:pStyle w:val="ListParagraph"/>
      </w:pPr>
    </w:p>
    <w:p w14:paraId="10E2827C" w14:textId="1EE948BB" w:rsidR="004819E1" w:rsidRDefault="004819E1" w:rsidP="00C546B0">
      <w:pPr>
        <w:pStyle w:val="BodyText"/>
        <w:numPr>
          <w:ilvl w:val="2"/>
          <w:numId w:val="11"/>
        </w:numPr>
        <w:contextualSpacing/>
        <w:jc w:val="both"/>
      </w:pPr>
      <w:r w:rsidRPr="00EB02D3">
        <w:rPr>
          <w:u w:val="single"/>
        </w:rPr>
        <w:t>Maintenance</w:t>
      </w:r>
      <w:r>
        <w:t xml:space="preserve">. </w:t>
      </w:r>
      <w:r w:rsidRPr="00E46176">
        <w:t xml:space="preserve">The </w:t>
      </w:r>
      <w:r w:rsidR="0043140A">
        <w:t xml:space="preserve">CAEP </w:t>
      </w:r>
      <w:r w:rsidR="00887B51">
        <w:t>Board</w:t>
      </w:r>
      <w:r w:rsidRPr="00E46176">
        <w:t xml:space="preserve"> shall maintain a complete file of all records, documents, communications</w:t>
      </w:r>
      <w:r>
        <w:t>,</w:t>
      </w:r>
      <w:r w:rsidRPr="00E37E05">
        <w:rPr>
          <w:spacing w:val="-14"/>
        </w:rPr>
        <w:t xml:space="preserve"> </w:t>
      </w:r>
      <w:r w:rsidRPr="00E46176">
        <w:t>and</w:t>
      </w:r>
      <w:r w:rsidRPr="00E37E05">
        <w:rPr>
          <w:spacing w:val="-13"/>
        </w:rPr>
        <w:t xml:space="preserve"> </w:t>
      </w:r>
      <w:r w:rsidRPr="00E46176">
        <w:t>other</w:t>
      </w:r>
      <w:r w:rsidRPr="00E37E05">
        <w:rPr>
          <w:spacing w:val="-15"/>
        </w:rPr>
        <w:t xml:space="preserve"> </w:t>
      </w:r>
      <w:r w:rsidRPr="00E46176">
        <w:t>written</w:t>
      </w:r>
      <w:r w:rsidRPr="00E37E05">
        <w:rPr>
          <w:spacing w:val="-13"/>
        </w:rPr>
        <w:t xml:space="preserve"> </w:t>
      </w:r>
      <w:r w:rsidRPr="00E46176">
        <w:t>materials</w:t>
      </w:r>
      <w:r w:rsidRPr="00E37E05">
        <w:rPr>
          <w:spacing w:val="-14"/>
        </w:rPr>
        <w:t xml:space="preserve"> </w:t>
      </w:r>
      <w:r w:rsidRPr="00E46176">
        <w:t>that</w:t>
      </w:r>
      <w:r w:rsidRPr="00E37E05">
        <w:rPr>
          <w:spacing w:val="-13"/>
        </w:rPr>
        <w:t xml:space="preserve"> </w:t>
      </w:r>
      <w:r w:rsidRPr="00E46176">
        <w:t>pertain</w:t>
      </w:r>
      <w:r w:rsidRPr="00E37E05">
        <w:rPr>
          <w:spacing w:val="-14"/>
        </w:rPr>
        <w:t xml:space="preserve"> </w:t>
      </w:r>
      <w:r w:rsidRPr="00E46176">
        <w:t>to</w:t>
      </w:r>
      <w:r w:rsidRPr="00E37E05">
        <w:rPr>
          <w:spacing w:val="-13"/>
        </w:rPr>
        <w:t xml:space="preserve"> </w:t>
      </w:r>
      <w:r w:rsidRPr="00E46176">
        <w:t>the</w:t>
      </w:r>
      <w:r w:rsidRPr="00E37E05">
        <w:rPr>
          <w:spacing w:val="-15"/>
        </w:rPr>
        <w:t xml:space="preserve"> </w:t>
      </w:r>
      <w:r w:rsidRPr="00E46176">
        <w:t>delivery</w:t>
      </w:r>
      <w:r w:rsidRPr="00E37E05">
        <w:rPr>
          <w:spacing w:val="-21"/>
        </w:rPr>
        <w:t xml:space="preserve"> </w:t>
      </w:r>
      <w:r w:rsidRPr="00E46176">
        <w:t>of</w:t>
      </w:r>
      <w:r w:rsidRPr="00E37E05">
        <w:rPr>
          <w:spacing w:val="-14"/>
        </w:rPr>
        <w:t xml:space="preserve"> </w:t>
      </w:r>
      <w:r>
        <w:t>the Property</w:t>
      </w:r>
      <w:r w:rsidRPr="00E37E05">
        <w:rPr>
          <w:spacing w:val="-14"/>
        </w:rPr>
        <w:t xml:space="preserve"> </w:t>
      </w:r>
      <w:r w:rsidRPr="00E46176">
        <w:t>under this</w:t>
      </w:r>
      <w:r w:rsidRPr="00E37E05">
        <w:rPr>
          <w:spacing w:val="-5"/>
        </w:rPr>
        <w:t xml:space="preserve"> </w:t>
      </w:r>
      <w:r w:rsidRPr="00E46176">
        <w:t>Agreement</w:t>
      </w:r>
      <w:r w:rsidRPr="00E37E05">
        <w:rPr>
          <w:spacing w:val="-3"/>
        </w:rPr>
        <w:t xml:space="preserve"> </w:t>
      </w:r>
      <w:r w:rsidRPr="00E46176">
        <w:t>and</w:t>
      </w:r>
      <w:r w:rsidRPr="00E37E05">
        <w:rPr>
          <w:spacing w:val="-3"/>
        </w:rPr>
        <w:t xml:space="preserve"> </w:t>
      </w:r>
      <w:r w:rsidRPr="00E46176">
        <w:t>shall</w:t>
      </w:r>
      <w:r w:rsidRPr="00E37E05">
        <w:rPr>
          <w:spacing w:val="-2"/>
        </w:rPr>
        <w:t xml:space="preserve"> </w:t>
      </w:r>
      <w:r w:rsidRPr="00E46176">
        <w:t>maintain</w:t>
      </w:r>
      <w:r w:rsidRPr="00E37E05">
        <w:rPr>
          <w:spacing w:val="-4"/>
        </w:rPr>
        <w:t xml:space="preserve"> </w:t>
      </w:r>
      <w:r w:rsidRPr="00E46176">
        <w:t>such</w:t>
      </w:r>
      <w:r w:rsidRPr="00E37E05">
        <w:rPr>
          <w:spacing w:val="-5"/>
        </w:rPr>
        <w:t xml:space="preserve"> </w:t>
      </w:r>
      <w:r w:rsidRPr="00E46176">
        <w:t>records</w:t>
      </w:r>
      <w:r w:rsidRPr="00E37E05">
        <w:rPr>
          <w:spacing w:val="-4"/>
        </w:rPr>
        <w:t xml:space="preserve"> </w:t>
      </w:r>
      <w:r w:rsidRPr="00E46176">
        <w:t>for</w:t>
      </w:r>
      <w:r w:rsidRPr="00E37E05">
        <w:rPr>
          <w:spacing w:val="-3"/>
        </w:rPr>
        <w:t xml:space="preserve"> </w:t>
      </w:r>
      <w:r w:rsidRPr="00E46176">
        <w:t>a</w:t>
      </w:r>
      <w:r w:rsidRPr="00E37E05">
        <w:rPr>
          <w:spacing w:val="-5"/>
        </w:rPr>
        <w:t xml:space="preserve"> </w:t>
      </w:r>
      <w:r w:rsidRPr="00E46176">
        <w:t>period</w:t>
      </w:r>
      <w:r w:rsidRPr="00E37E05">
        <w:rPr>
          <w:spacing w:val="-5"/>
        </w:rPr>
        <w:t xml:space="preserve"> </w:t>
      </w:r>
      <w:r w:rsidRPr="00E46176">
        <w:t>of</w:t>
      </w:r>
      <w:r w:rsidRPr="00E37E05">
        <w:rPr>
          <w:spacing w:val="-5"/>
        </w:rPr>
        <w:t xml:space="preserve"> </w:t>
      </w:r>
      <w:r w:rsidRPr="00E46176">
        <w:t>five</w:t>
      </w:r>
      <w:r w:rsidRPr="00E37E05">
        <w:rPr>
          <w:spacing w:val="-3"/>
        </w:rPr>
        <w:t xml:space="preserve"> </w:t>
      </w:r>
      <w:r w:rsidRPr="00E46176">
        <w:t>(5) years</w:t>
      </w:r>
      <w:r w:rsidRPr="00E37E05">
        <w:rPr>
          <w:spacing w:val="-2"/>
        </w:rPr>
        <w:t xml:space="preserve"> </w:t>
      </w:r>
      <w:r w:rsidRPr="00E46176">
        <w:t>after</w:t>
      </w:r>
      <w:r w:rsidRPr="00E37E05">
        <w:rPr>
          <w:spacing w:val="-5"/>
        </w:rPr>
        <w:t xml:space="preserve"> </w:t>
      </w:r>
      <w:r w:rsidRPr="00E46176">
        <w:t>termination</w:t>
      </w:r>
      <w:r w:rsidRPr="00E37E05">
        <w:rPr>
          <w:spacing w:val="-5"/>
        </w:rPr>
        <w:t xml:space="preserve"> </w:t>
      </w:r>
      <w:r w:rsidRPr="00E46176">
        <w:lastRenderedPageBreak/>
        <w:t>of this Agreement or final payment, whichever is later, or for such further period as may be necessary to resolve any matters that may be</w:t>
      </w:r>
      <w:r w:rsidRPr="00E37E05">
        <w:rPr>
          <w:spacing w:val="-13"/>
        </w:rPr>
        <w:t xml:space="preserve"> </w:t>
      </w:r>
      <w:r w:rsidRPr="00E46176">
        <w:t>pending.</w:t>
      </w:r>
    </w:p>
    <w:p w14:paraId="5CB487C4" w14:textId="77777777" w:rsidR="004819E1" w:rsidRDefault="004819E1" w:rsidP="004819E1">
      <w:pPr>
        <w:pStyle w:val="BodyText"/>
        <w:ind w:left="360"/>
        <w:contextualSpacing/>
        <w:jc w:val="both"/>
      </w:pPr>
    </w:p>
    <w:p w14:paraId="14C9574D" w14:textId="7011B3F7" w:rsidR="004819E1" w:rsidRDefault="004819E1" w:rsidP="004819E1">
      <w:pPr>
        <w:pStyle w:val="BodyText"/>
        <w:numPr>
          <w:ilvl w:val="2"/>
          <w:numId w:val="11"/>
        </w:numPr>
        <w:contextualSpacing/>
        <w:jc w:val="both"/>
      </w:pPr>
      <w:r w:rsidRPr="00EB02D3">
        <w:rPr>
          <w:u w:val="single"/>
        </w:rPr>
        <w:t>Access</w:t>
      </w:r>
      <w:r>
        <w:t xml:space="preserve">. </w:t>
      </w:r>
      <w:r w:rsidRPr="00E46176">
        <w:t>The</w:t>
      </w:r>
      <w:r w:rsidRPr="00E46176">
        <w:rPr>
          <w:spacing w:val="-12"/>
        </w:rPr>
        <w:t xml:space="preserve"> </w:t>
      </w:r>
      <w:r w:rsidR="0043140A">
        <w:rPr>
          <w:spacing w:val="-12"/>
        </w:rPr>
        <w:t xml:space="preserve">CAEP </w:t>
      </w:r>
      <w:r w:rsidR="00887B51">
        <w:t>Board</w:t>
      </w:r>
      <w:r w:rsidRPr="00E46176">
        <w:rPr>
          <w:spacing w:val="-11"/>
        </w:rPr>
        <w:t xml:space="preserve"> </w:t>
      </w:r>
      <w:r w:rsidRPr="00E46176">
        <w:t>shall</w:t>
      </w:r>
      <w:r w:rsidRPr="00E46176">
        <w:rPr>
          <w:spacing w:val="-11"/>
        </w:rPr>
        <w:t xml:space="preserve"> </w:t>
      </w:r>
      <w:r w:rsidRPr="00E46176">
        <w:t>permit</w:t>
      </w:r>
      <w:r w:rsidRPr="00E46176">
        <w:rPr>
          <w:spacing w:val="-10"/>
        </w:rPr>
        <w:t xml:space="preserve"> </w:t>
      </w:r>
      <w:r w:rsidRPr="00E46176">
        <w:t>the</w:t>
      </w:r>
      <w:r w:rsidRPr="00E46176">
        <w:rPr>
          <w:spacing w:val="-12"/>
        </w:rPr>
        <w:t xml:space="preserve"> </w:t>
      </w:r>
      <w:r w:rsidRPr="00E46176">
        <w:t>SDE</w:t>
      </w:r>
      <w:r w:rsidRPr="00E46176">
        <w:rPr>
          <w:spacing w:val="-10"/>
        </w:rPr>
        <w:t xml:space="preserve"> </w:t>
      </w:r>
      <w:r w:rsidRPr="00E46176">
        <w:t>or</w:t>
      </w:r>
      <w:r w:rsidRPr="00E46176">
        <w:rPr>
          <w:spacing w:val="-12"/>
        </w:rPr>
        <w:t xml:space="preserve"> </w:t>
      </w:r>
      <w:r w:rsidRPr="00E46176">
        <w:t>any</w:t>
      </w:r>
      <w:r w:rsidRPr="00E46176">
        <w:rPr>
          <w:spacing w:val="-17"/>
        </w:rPr>
        <w:t xml:space="preserve"> </w:t>
      </w:r>
      <w:r w:rsidRPr="00E46176">
        <w:t>duly</w:t>
      </w:r>
      <w:r w:rsidRPr="00E46176">
        <w:rPr>
          <w:spacing w:val="-15"/>
        </w:rPr>
        <w:t xml:space="preserve"> </w:t>
      </w:r>
      <w:r w:rsidRPr="00E46176">
        <w:t>authorized</w:t>
      </w:r>
      <w:r w:rsidRPr="00E46176">
        <w:rPr>
          <w:spacing w:val="-11"/>
        </w:rPr>
        <w:t xml:space="preserve"> </w:t>
      </w:r>
      <w:r w:rsidRPr="00E46176">
        <w:t>agent</w:t>
      </w:r>
      <w:r w:rsidRPr="00E46176">
        <w:rPr>
          <w:spacing w:val="-10"/>
        </w:rPr>
        <w:t xml:space="preserve"> </w:t>
      </w:r>
      <w:r w:rsidRPr="00E46176">
        <w:t>of</w:t>
      </w:r>
      <w:r w:rsidRPr="00E46176">
        <w:rPr>
          <w:spacing w:val="-12"/>
        </w:rPr>
        <w:t xml:space="preserve"> </w:t>
      </w:r>
      <w:r w:rsidRPr="00E46176">
        <w:t>the</w:t>
      </w:r>
      <w:r w:rsidRPr="00E46176">
        <w:rPr>
          <w:spacing w:val="-11"/>
        </w:rPr>
        <w:t xml:space="preserve"> </w:t>
      </w:r>
      <w:r w:rsidRPr="00E46176">
        <w:t>SDE</w:t>
      </w:r>
      <w:r w:rsidRPr="00E46176">
        <w:rPr>
          <w:spacing w:val="-11"/>
        </w:rPr>
        <w:t xml:space="preserve"> </w:t>
      </w:r>
      <w:r w:rsidRPr="00E46176">
        <w:t>to</w:t>
      </w:r>
      <w:r w:rsidRPr="00E46176">
        <w:rPr>
          <w:spacing w:val="-10"/>
        </w:rPr>
        <w:t xml:space="preserve"> </w:t>
      </w:r>
      <w:r w:rsidRPr="00E46176">
        <w:t>audit, inspect, examine, excerpt, copy</w:t>
      </w:r>
      <w:r>
        <w:t>,</w:t>
      </w:r>
      <w:r w:rsidRPr="00E46176">
        <w:t xml:space="preserve"> or transcribe the</w:t>
      </w:r>
      <w:r w:rsidR="0043140A">
        <w:t xml:space="preserve"> CAEP</w:t>
      </w:r>
      <w:r w:rsidRPr="00E46176">
        <w:t xml:space="preserve"> </w:t>
      </w:r>
      <w:r w:rsidR="00887B51">
        <w:t>Board</w:t>
      </w:r>
      <w:r w:rsidRPr="00E46176">
        <w:t>’s records during the term of this Agreement and for a period of five (5) years following termination of this Agreement or final payment,</w:t>
      </w:r>
      <w:r w:rsidRPr="00E46176">
        <w:rPr>
          <w:spacing w:val="-12"/>
        </w:rPr>
        <w:t xml:space="preserve"> </w:t>
      </w:r>
      <w:r w:rsidRPr="00E46176">
        <w:t>whichever</w:t>
      </w:r>
      <w:r w:rsidRPr="00E46176">
        <w:rPr>
          <w:spacing w:val="-12"/>
        </w:rPr>
        <w:t xml:space="preserve"> </w:t>
      </w:r>
      <w:r w:rsidRPr="00E46176">
        <w:t>is</w:t>
      </w:r>
      <w:r w:rsidRPr="00E46176">
        <w:rPr>
          <w:spacing w:val="-12"/>
        </w:rPr>
        <w:t xml:space="preserve"> </w:t>
      </w:r>
      <w:r w:rsidRPr="00E46176">
        <w:t>later,</w:t>
      </w:r>
      <w:r w:rsidRPr="00E46176">
        <w:rPr>
          <w:spacing w:val="-11"/>
        </w:rPr>
        <w:t xml:space="preserve"> </w:t>
      </w:r>
      <w:r w:rsidRPr="00E46176">
        <w:t>to</w:t>
      </w:r>
      <w:r w:rsidRPr="00E46176">
        <w:rPr>
          <w:spacing w:val="-12"/>
        </w:rPr>
        <w:t xml:space="preserve"> </w:t>
      </w:r>
      <w:r w:rsidRPr="00E46176">
        <w:t>assure</w:t>
      </w:r>
      <w:r w:rsidRPr="00E46176">
        <w:rPr>
          <w:spacing w:val="-10"/>
        </w:rPr>
        <w:t xml:space="preserve"> </w:t>
      </w:r>
      <w:r w:rsidRPr="00E46176">
        <w:t>compliance</w:t>
      </w:r>
      <w:r w:rsidRPr="00E46176">
        <w:rPr>
          <w:spacing w:val="-10"/>
        </w:rPr>
        <w:t xml:space="preserve"> </w:t>
      </w:r>
      <w:r w:rsidRPr="00E46176">
        <w:t>with</w:t>
      </w:r>
      <w:r w:rsidRPr="00E46176">
        <w:rPr>
          <w:spacing w:val="-12"/>
        </w:rPr>
        <w:t xml:space="preserve"> </w:t>
      </w:r>
      <w:r w:rsidRPr="00E46176">
        <w:t>the</w:t>
      </w:r>
      <w:r w:rsidRPr="00E46176">
        <w:rPr>
          <w:spacing w:val="-12"/>
        </w:rPr>
        <w:t xml:space="preserve"> </w:t>
      </w:r>
      <w:r w:rsidRPr="00E46176">
        <w:t>terms</w:t>
      </w:r>
      <w:r w:rsidRPr="00E46176">
        <w:rPr>
          <w:spacing w:val="-12"/>
        </w:rPr>
        <w:t xml:space="preserve"> </w:t>
      </w:r>
      <w:r w:rsidRPr="00E46176">
        <w:t>of</w:t>
      </w:r>
      <w:r w:rsidRPr="00E46176">
        <w:rPr>
          <w:spacing w:val="-12"/>
        </w:rPr>
        <w:t xml:space="preserve"> </w:t>
      </w:r>
      <w:r w:rsidRPr="00E46176">
        <w:t>this</w:t>
      </w:r>
      <w:r w:rsidRPr="00E46176">
        <w:rPr>
          <w:spacing w:val="-11"/>
        </w:rPr>
        <w:t xml:space="preserve"> </w:t>
      </w:r>
      <w:r w:rsidRPr="00E46176">
        <w:t>Agreement</w:t>
      </w:r>
      <w:r w:rsidRPr="00E46176">
        <w:rPr>
          <w:spacing w:val="-12"/>
        </w:rPr>
        <w:t xml:space="preserve"> </w:t>
      </w:r>
      <w:r w:rsidRPr="00E46176">
        <w:t>or</w:t>
      </w:r>
      <w:r w:rsidRPr="00E46176">
        <w:rPr>
          <w:spacing w:val="-12"/>
        </w:rPr>
        <w:t xml:space="preserve"> </w:t>
      </w:r>
      <w:r w:rsidRPr="00E46176">
        <w:t>to</w:t>
      </w:r>
      <w:r w:rsidRPr="00E46176">
        <w:rPr>
          <w:spacing w:val="-12"/>
        </w:rPr>
        <w:t xml:space="preserve"> </w:t>
      </w:r>
      <w:r w:rsidRPr="00E46176">
        <w:t xml:space="preserve">evaluate </w:t>
      </w:r>
      <w:r w:rsidR="0043140A">
        <w:t xml:space="preserve">CAEP </w:t>
      </w:r>
      <w:r w:rsidR="00887B51">
        <w:t>Board</w:t>
      </w:r>
      <w:r w:rsidRPr="00E46176">
        <w:t>’s</w:t>
      </w:r>
      <w:r w:rsidRPr="00E46176">
        <w:rPr>
          <w:spacing w:val="-5"/>
        </w:rPr>
        <w:t xml:space="preserve"> </w:t>
      </w:r>
      <w:r w:rsidRPr="00E46176">
        <w:t>performance</w:t>
      </w:r>
      <w:r w:rsidRPr="00E46176">
        <w:rPr>
          <w:spacing w:val="-5"/>
        </w:rPr>
        <w:t xml:space="preserve"> </w:t>
      </w:r>
      <w:r w:rsidRPr="00E46176">
        <w:t>under</w:t>
      </w:r>
      <w:r w:rsidRPr="00E46176">
        <w:rPr>
          <w:spacing w:val="-3"/>
        </w:rPr>
        <w:t xml:space="preserve"> </w:t>
      </w:r>
      <w:r w:rsidRPr="00E46176">
        <w:t>this</w:t>
      </w:r>
      <w:r w:rsidRPr="00E46176">
        <w:rPr>
          <w:spacing w:val="-4"/>
        </w:rPr>
        <w:t xml:space="preserve"> </w:t>
      </w:r>
      <w:r w:rsidRPr="00E46176">
        <w:t>Agreement.</w:t>
      </w:r>
      <w:r w:rsidRPr="00E46176">
        <w:rPr>
          <w:spacing w:val="-1"/>
        </w:rPr>
        <w:t xml:space="preserve"> </w:t>
      </w:r>
      <w:r w:rsidRPr="00E46176">
        <w:t>The</w:t>
      </w:r>
      <w:r w:rsidRPr="00E46176">
        <w:rPr>
          <w:spacing w:val="-6"/>
        </w:rPr>
        <w:t xml:space="preserve"> </w:t>
      </w:r>
      <w:r w:rsidR="0043140A">
        <w:rPr>
          <w:spacing w:val="-6"/>
        </w:rPr>
        <w:t xml:space="preserve">CAEP </w:t>
      </w:r>
      <w:r w:rsidR="00887B51">
        <w:t>Board</w:t>
      </w:r>
      <w:r w:rsidRPr="00E46176">
        <w:rPr>
          <w:spacing w:val="-2"/>
        </w:rPr>
        <w:t xml:space="preserve"> </w:t>
      </w:r>
      <w:r w:rsidRPr="00E46176">
        <w:t>shall</w:t>
      </w:r>
      <w:r w:rsidRPr="00E46176">
        <w:rPr>
          <w:spacing w:val="-4"/>
        </w:rPr>
        <w:t xml:space="preserve"> </w:t>
      </w:r>
      <w:r w:rsidRPr="00E46176">
        <w:t>also</w:t>
      </w:r>
      <w:r w:rsidRPr="00E46176">
        <w:rPr>
          <w:spacing w:val="-1"/>
        </w:rPr>
        <w:t xml:space="preserve"> </w:t>
      </w:r>
      <w:r w:rsidRPr="00E46176">
        <w:t>permit</w:t>
      </w:r>
      <w:r w:rsidRPr="00E46176">
        <w:rPr>
          <w:spacing w:val="-4"/>
        </w:rPr>
        <w:t xml:space="preserve"> </w:t>
      </w:r>
      <w:r w:rsidRPr="00E46176">
        <w:t>the</w:t>
      </w:r>
      <w:r w:rsidRPr="00E46176">
        <w:rPr>
          <w:spacing w:val="-5"/>
        </w:rPr>
        <w:t xml:space="preserve"> </w:t>
      </w:r>
      <w:r w:rsidRPr="00E46176">
        <w:t>SDE</w:t>
      </w:r>
      <w:r w:rsidRPr="00E46176">
        <w:rPr>
          <w:spacing w:val="-2"/>
        </w:rPr>
        <w:t xml:space="preserve"> </w:t>
      </w:r>
      <w:r w:rsidRPr="00E46176">
        <w:t>or</w:t>
      </w:r>
      <w:r w:rsidRPr="00E46176">
        <w:rPr>
          <w:spacing w:val="-6"/>
        </w:rPr>
        <w:t xml:space="preserve"> </w:t>
      </w:r>
      <w:r w:rsidRPr="00E46176">
        <w:t>its agent to monitor all activities conducted by it pursuant to this Agreement. As the monitoring agency may determine in its sole discretion, such monitoring may include internal evaluation procedures,</w:t>
      </w:r>
      <w:r w:rsidRPr="00E46176">
        <w:rPr>
          <w:spacing w:val="-7"/>
        </w:rPr>
        <w:t xml:space="preserve"> </w:t>
      </w:r>
      <w:r w:rsidRPr="00E46176">
        <w:t>examination</w:t>
      </w:r>
      <w:r w:rsidRPr="00E46176">
        <w:rPr>
          <w:spacing w:val="-9"/>
        </w:rPr>
        <w:t xml:space="preserve"> </w:t>
      </w:r>
      <w:r w:rsidRPr="00E46176">
        <w:t>of</w:t>
      </w:r>
      <w:r w:rsidRPr="00E46176">
        <w:rPr>
          <w:spacing w:val="-9"/>
        </w:rPr>
        <w:t xml:space="preserve"> </w:t>
      </w:r>
      <w:r w:rsidRPr="00E46176">
        <w:t>data,</w:t>
      </w:r>
      <w:r w:rsidRPr="00E46176">
        <w:rPr>
          <w:spacing w:val="-6"/>
        </w:rPr>
        <w:t xml:space="preserve"> </w:t>
      </w:r>
      <w:r w:rsidRPr="00E46176">
        <w:t>special</w:t>
      </w:r>
      <w:r w:rsidRPr="00E46176">
        <w:rPr>
          <w:spacing w:val="-8"/>
        </w:rPr>
        <w:t xml:space="preserve"> </w:t>
      </w:r>
      <w:r w:rsidRPr="00E46176">
        <w:t>analyses,</w:t>
      </w:r>
      <w:r w:rsidRPr="00E46176">
        <w:rPr>
          <w:spacing w:val="-6"/>
        </w:rPr>
        <w:t xml:space="preserve"> </w:t>
      </w:r>
      <w:r w:rsidRPr="00E46176">
        <w:t>on-site</w:t>
      </w:r>
      <w:r w:rsidRPr="00E46176">
        <w:rPr>
          <w:spacing w:val="-10"/>
        </w:rPr>
        <w:t xml:space="preserve"> </w:t>
      </w:r>
      <w:r w:rsidRPr="00E46176">
        <w:t>checks</w:t>
      </w:r>
      <w:r>
        <w:t>,</w:t>
      </w:r>
      <w:r w:rsidRPr="00E46176">
        <w:rPr>
          <w:spacing w:val="-9"/>
        </w:rPr>
        <w:t xml:space="preserve"> </w:t>
      </w:r>
      <w:r w:rsidRPr="00E46176">
        <w:t>or</w:t>
      </w:r>
      <w:r w:rsidRPr="00E46176">
        <w:rPr>
          <w:spacing w:val="-9"/>
        </w:rPr>
        <w:t xml:space="preserve"> </w:t>
      </w:r>
      <w:r w:rsidRPr="00E46176">
        <w:t>other</w:t>
      </w:r>
      <w:r w:rsidRPr="00E46176">
        <w:rPr>
          <w:spacing w:val="-9"/>
        </w:rPr>
        <w:t xml:space="preserve"> </w:t>
      </w:r>
      <w:r w:rsidRPr="00E46176">
        <w:t>reasonable</w:t>
      </w:r>
      <w:r w:rsidRPr="00E46176">
        <w:rPr>
          <w:spacing w:val="-10"/>
        </w:rPr>
        <w:t xml:space="preserve"> </w:t>
      </w:r>
      <w:r w:rsidRPr="00E46176">
        <w:t>procedures.</w:t>
      </w:r>
    </w:p>
    <w:p w14:paraId="17EA8CB3" w14:textId="77777777" w:rsidR="004819E1" w:rsidRDefault="004819E1" w:rsidP="00C546B0">
      <w:pPr>
        <w:pStyle w:val="BodyText"/>
        <w:contextualSpacing/>
        <w:jc w:val="both"/>
      </w:pPr>
    </w:p>
    <w:p w14:paraId="568F186E" w14:textId="77777777" w:rsidR="00887B51" w:rsidRPr="00887B51" w:rsidRDefault="004819E1" w:rsidP="00887B51">
      <w:pPr>
        <w:pStyle w:val="ListParagraph"/>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hanging="720"/>
        <w:jc w:val="both"/>
        <w:rPr>
          <w:iCs/>
        </w:rPr>
      </w:pPr>
      <w:r w:rsidRPr="005D0943">
        <w:rPr>
          <w:iCs/>
          <w:u w:val="single"/>
        </w:rPr>
        <w:t>Governing Law and Jurisdiction</w:t>
      </w:r>
      <w:r w:rsidRPr="005D0943">
        <w:rPr>
          <w:iCs/>
        </w:rPr>
        <w:t xml:space="preserve">. </w:t>
      </w:r>
      <w:r w:rsidRPr="005D0943">
        <w:t>The Agreement shall be construed in accordance with and governed by</w:t>
      </w:r>
      <w:r w:rsidRPr="005D0943">
        <w:rPr>
          <w:spacing w:val="-33"/>
        </w:rPr>
        <w:t xml:space="preserve"> </w:t>
      </w:r>
      <w:r w:rsidRPr="005D0943">
        <w:t>the laws</w:t>
      </w:r>
      <w:r w:rsidRPr="005D0943">
        <w:rPr>
          <w:spacing w:val="-2"/>
        </w:rPr>
        <w:t xml:space="preserve"> </w:t>
      </w:r>
      <w:r w:rsidRPr="005D0943">
        <w:t>of</w:t>
      </w:r>
      <w:r w:rsidRPr="005D0943">
        <w:rPr>
          <w:spacing w:val="-3"/>
        </w:rPr>
        <w:t xml:space="preserve"> </w:t>
      </w:r>
      <w:r w:rsidRPr="005D0943">
        <w:t>the</w:t>
      </w:r>
      <w:r w:rsidRPr="005D0943">
        <w:rPr>
          <w:spacing w:val="-4"/>
        </w:rPr>
        <w:t xml:space="preserve"> </w:t>
      </w:r>
      <w:r>
        <w:t>S</w:t>
      </w:r>
      <w:r w:rsidRPr="005D0943">
        <w:t>tate</w:t>
      </w:r>
      <w:r w:rsidRPr="005D0943">
        <w:rPr>
          <w:spacing w:val="-2"/>
        </w:rPr>
        <w:t xml:space="preserve"> </w:t>
      </w:r>
      <w:r w:rsidRPr="005D0943">
        <w:t>of</w:t>
      </w:r>
      <w:r w:rsidRPr="005D0943">
        <w:rPr>
          <w:spacing w:val="-3"/>
        </w:rPr>
        <w:t xml:space="preserve"> </w:t>
      </w:r>
      <w:r w:rsidRPr="005D0943">
        <w:t>Idaho.</w:t>
      </w:r>
      <w:r w:rsidRPr="005D0943">
        <w:rPr>
          <w:spacing w:val="-3"/>
        </w:rPr>
        <w:t xml:space="preserve"> </w:t>
      </w:r>
      <w:r w:rsidRPr="005D0943">
        <w:t>Any</w:t>
      </w:r>
      <w:r w:rsidRPr="005D0943">
        <w:rPr>
          <w:spacing w:val="-3"/>
        </w:rPr>
        <w:t xml:space="preserve"> </w:t>
      </w:r>
      <w:r w:rsidRPr="005D0943">
        <w:t>action</w:t>
      </w:r>
      <w:r w:rsidRPr="005D0943">
        <w:rPr>
          <w:spacing w:val="-2"/>
        </w:rPr>
        <w:t xml:space="preserve"> </w:t>
      </w:r>
      <w:r w:rsidRPr="005D0943">
        <w:t>to</w:t>
      </w:r>
      <w:r w:rsidRPr="005D0943">
        <w:rPr>
          <w:spacing w:val="-2"/>
        </w:rPr>
        <w:t xml:space="preserve"> </w:t>
      </w:r>
      <w:r w:rsidRPr="005D0943">
        <w:t>enforce</w:t>
      </w:r>
      <w:r w:rsidRPr="005D0943">
        <w:rPr>
          <w:spacing w:val="-2"/>
        </w:rPr>
        <w:t xml:space="preserve"> </w:t>
      </w:r>
      <w:r w:rsidRPr="005D0943">
        <w:t>the</w:t>
      </w:r>
      <w:r w:rsidRPr="005D0943">
        <w:rPr>
          <w:spacing w:val="-4"/>
        </w:rPr>
        <w:t xml:space="preserve"> </w:t>
      </w:r>
      <w:r w:rsidRPr="005D0943">
        <w:t>provisions</w:t>
      </w:r>
      <w:r w:rsidRPr="005D0943">
        <w:rPr>
          <w:spacing w:val="-2"/>
        </w:rPr>
        <w:t xml:space="preserve"> </w:t>
      </w:r>
      <w:r w:rsidRPr="005D0943">
        <w:t>of</w:t>
      </w:r>
      <w:r w:rsidRPr="005D0943">
        <w:rPr>
          <w:spacing w:val="-3"/>
        </w:rPr>
        <w:t xml:space="preserve"> </w:t>
      </w:r>
      <w:r w:rsidRPr="005D0943">
        <w:t>the</w:t>
      </w:r>
      <w:r w:rsidRPr="005D0943">
        <w:rPr>
          <w:spacing w:val="-2"/>
        </w:rPr>
        <w:t xml:space="preserve"> </w:t>
      </w:r>
      <w:r w:rsidRPr="005D0943">
        <w:t>Agreement</w:t>
      </w:r>
      <w:r w:rsidRPr="005D0943">
        <w:rPr>
          <w:spacing w:val="-3"/>
        </w:rPr>
        <w:t xml:space="preserve"> </w:t>
      </w:r>
      <w:r w:rsidRPr="005D0943">
        <w:t>shall</w:t>
      </w:r>
      <w:r w:rsidRPr="005D0943">
        <w:rPr>
          <w:spacing w:val="-2"/>
        </w:rPr>
        <w:t xml:space="preserve"> </w:t>
      </w:r>
      <w:r w:rsidRPr="005D0943">
        <w:t>be</w:t>
      </w:r>
      <w:r w:rsidRPr="005D0943">
        <w:rPr>
          <w:spacing w:val="-4"/>
        </w:rPr>
        <w:t xml:space="preserve"> </w:t>
      </w:r>
      <w:r w:rsidRPr="005D0943">
        <w:t>brought</w:t>
      </w:r>
      <w:r w:rsidRPr="005D0943">
        <w:rPr>
          <w:spacing w:val="-3"/>
        </w:rPr>
        <w:t xml:space="preserve"> </w:t>
      </w:r>
      <w:r w:rsidRPr="005D0943">
        <w:t>in</w:t>
      </w:r>
      <w:r w:rsidRPr="005D0943">
        <w:rPr>
          <w:spacing w:val="-2"/>
        </w:rPr>
        <w:t xml:space="preserve"> </w:t>
      </w:r>
      <w:r>
        <w:t>s</w:t>
      </w:r>
      <w:r w:rsidRPr="005D0943">
        <w:t>tate</w:t>
      </w:r>
      <w:r w:rsidRPr="005D0943">
        <w:rPr>
          <w:spacing w:val="-2"/>
        </w:rPr>
        <w:t xml:space="preserve"> </w:t>
      </w:r>
      <w:r w:rsidRPr="005D0943">
        <w:t>district</w:t>
      </w:r>
      <w:r w:rsidRPr="005D0943">
        <w:rPr>
          <w:spacing w:val="-4"/>
        </w:rPr>
        <w:t xml:space="preserve"> </w:t>
      </w:r>
      <w:r w:rsidRPr="005D0943">
        <w:t>court</w:t>
      </w:r>
      <w:r w:rsidRPr="005D0943">
        <w:rPr>
          <w:spacing w:val="-4"/>
        </w:rPr>
        <w:t xml:space="preserve"> </w:t>
      </w:r>
      <w:r w:rsidRPr="005D0943">
        <w:t>in</w:t>
      </w:r>
      <w:r w:rsidRPr="005D0943">
        <w:rPr>
          <w:spacing w:val="-2"/>
        </w:rPr>
        <w:t xml:space="preserve"> </w:t>
      </w:r>
      <w:r w:rsidRPr="005D0943">
        <w:t>Ada County,</w:t>
      </w:r>
      <w:r w:rsidRPr="005D0943">
        <w:rPr>
          <w:spacing w:val="-2"/>
        </w:rPr>
        <w:t xml:space="preserve"> </w:t>
      </w:r>
      <w:r w:rsidRPr="005D0943">
        <w:t>Boise,</w:t>
      </w:r>
      <w:r w:rsidRPr="005D0943">
        <w:rPr>
          <w:spacing w:val="-4"/>
        </w:rPr>
        <w:t xml:space="preserve"> </w:t>
      </w:r>
      <w:r w:rsidRPr="005D0943">
        <w:t>Idaho.</w:t>
      </w:r>
    </w:p>
    <w:p w14:paraId="75E3BCA6" w14:textId="77777777" w:rsidR="00887B51" w:rsidRPr="00887B51" w:rsidRDefault="00887B51" w:rsidP="00C546B0">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iCs/>
        </w:rPr>
      </w:pPr>
    </w:p>
    <w:p w14:paraId="7CE43BE0" w14:textId="19B9544D" w:rsidR="00887B51" w:rsidRPr="00887B51" w:rsidRDefault="00887B51" w:rsidP="00C546B0">
      <w:pPr>
        <w:pStyle w:val="ListParagraph"/>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hanging="720"/>
        <w:jc w:val="both"/>
        <w:rPr>
          <w:iCs/>
        </w:rPr>
      </w:pPr>
      <w:r w:rsidRPr="00887B51">
        <w:rPr>
          <w:u w:val="single"/>
        </w:rPr>
        <w:t>Fiscal Necessity and Non-Appropriation</w:t>
      </w:r>
      <w:r w:rsidRPr="00A216E4">
        <w:t xml:space="preserve">. The SDE is a government entity and it is understood and agreed that the </w:t>
      </w:r>
      <w:r>
        <w:t>SDE</w:t>
      </w:r>
      <w:r w:rsidRPr="00A216E4">
        <w:t xml:space="preserve">’s payments herein provided for shall be paid from </w:t>
      </w:r>
      <w:r>
        <w:t>State of Idaho l</w:t>
      </w:r>
      <w:r w:rsidRPr="00A216E4">
        <w:t xml:space="preserve">egislative appropriations. The Legislature </w:t>
      </w:r>
      <w:r>
        <w:t xml:space="preserve">of the State of Idaho </w:t>
      </w:r>
      <w:r w:rsidRPr="00A216E4">
        <w:t xml:space="preserve">is under no legal obligation to make appropriations to fulfill this </w:t>
      </w:r>
      <w:r>
        <w:t>Agreement</w:t>
      </w:r>
      <w:r w:rsidRPr="00A216E4">
        <w:t xml:space="preserve">. This </w:t>
      </w:r>
      <w:r>
        <w:t>Agreement</w:t>
      </w:r>
      <w:r w:rsidRPr="00A216E4">
        <w:t xml:space="preserve"> shall in no way or manner be construed so as to bind or obligate the </w:t>
      </w:r>
      <w:r>
        <w:t>State</w:t>
      </w:r>
      <w:r w:rsidRPr="00A216E4">
        <w:t xml:space="preserve"> beyond the term of any particular appropriation of funds by the Legislature </w:t>
      </w:r>
      <w:r>
        <w:t xml:space="preserve">of the State of Idaho </w:t>
      </w:r>
      <w:r w:rsidRPr="00A216E4">
        <w:t>a</w:t>
      </w:r>
      <w:r>
        <w:t>s may exist from time to time.</w:t>
      </w:r>
    </w:p>
    <w:p w14:paraId="5AD9F809" w14:textId="77777777" w:rsidR="00887B51" w:rsidRPr="00A216E4" w:rsidRDefault="00887B51" w:rsidP="00887B51">
      <w:pPr>
        <w:pStyle w:val="BodyText"/>
        <w:contextualSpacing/>
        <w:jc w:val="both"/>
      </w:pPr>
    </w:p>
    <w:p w14:paraId="770D4E41" w14:textId="77777777" w:rsidR="00887B51" w:rsidRPr="00A216E4" w:rsidRDefault="00887B51" w:rsidP="00C546B0">
      <w:pPr>
        <w:pStyle w:val="BodyText"/>
        <w:ind w:left="720"/>
        <w:contextualSpacing/>
        <w:jc w:val="both"/>
      </w:pPr>
      <w:r w:rsidRPr="00A216E4">
        <w:t xml:space="preserve">The </w:t>
      </w:r>
      <w:r>
        <w:t>SDE</w:t>
      </w:r>
      <w:r w:rsidRPr="00A216E4">
        <w:t xml:space="preserve"> reserves the right to terminate this </w:t>
      </w:r>
      <w:r>
        <w:t>Agreement</w:t>
      </w:r>
      <w:r w:rsidRPr="00A216E4">
        <w:t xml:space="preserve"> in whole or in part (or any order placed under it) if, in its sole judgment, the Legislature of the State of Idaho fails, neglects, or refuses to appropriate sufficient funds as may be required for the </w:t>
      </w:r>
      <w:r>
        <w:t>SDE</w:t>
      </w:r>
      <w:r w:rsidRPr="00A216E4">
        <w:t xml:space="preserve"> to continue such payments, or requires any return or “give-back” of funds required for the </w:t>
      </w:r>
      <w:r>
        <w:t>SDE</w:t>
      </w:r>
      <w:r w:rsidRPr="00A216E4">
        <w:t xml:space="preserve"> to continue payments, or if the Executive Branch </w:t>
      </w:r>
      <w:r>
        <w:t xml:space="preserve">of the State of Idaho </w:t>
      </w:r>
      <w:r w:rsidRPr="00A216E4">
        <w:t xml:space="preserve">mandates any cuts or holdbacks in spending, or if funds are not budgeted or otherwise available, or if the </w:t>
      </w:r>
      <w:r>
        <w:t>State</w:t>
      </w:r>
      <w:r w:rsidRPr="00A216E4">
        <w:t xml:space="preserve"> discontinues or makes a material  alteration of the program under which funds were provided. The </w:t>
      </w:r>
      <w:r>
        <w:t xml:space="preserve">State </w:t>
      </w:r>
      <w:r w:rsidRPr="00A216E4">
        <w:t>shall not be required to transfer funds between accounts in the event that funds are reduced or unavailable.</w:t>
      </w:r>
    </w:p>
    <w:p w14:paraId="547FFD69" w14:textId="77777777" w:rsidR="00887B51" w:rsidRPr="00A216E4" w:rsidRDefault="00887B51" w:rsidP="00887B51">
      <w:pPr>
        <w:pStyle w:val="BodyText"/>
        <w:contextualSpacing/>
        <w:jc w:val="both"/>
      </w:pPr>
    </w:p>
    <w:p w14:paraId="6D8EB739" w14:textId="03E17BE6" w:rsidR="00887B51" w:rsidRDefault="00887B51" w:rsidP="00887B51">
      <w:pPr>
        <w:pStyle w:val="BodyText"/>
        <w:ind w:left="720"/>
        <w:contextualSpacing/>
        <w:jc w:val="both"/>
      </w:pPr>
      <w:r w:rsidRPr="00A216E4">
        <w:t>All affected future rights and liabilities of the parties shall thereupon cease within ten (10) calendar days after notice to the</w:t>
      </w:r>
      <w:r w:rsidR="0043140A">
        <w:t xml:space="preserve"> CAEP</w:t>
      </w:r>
      <w:r w:rsidRPr="00A216E4">
        <w:t xml:space="preserve"> </w:t>
      </w:r>
      <w:r>
        <w:t>Board</w:t>
      </w:r>
      <w:r w:rsidRPr="00A216E4">
        <w:t xml:space="preserve">. Further, in the event of non-appropriation, the </w:t>
      </w:r>
      <w:r>
        <w:t xml:space="preserve">State </w:t>
      </w:r>
      <w:r w:rsidRPr="00A216E4">
        <w:t>shall not be liable for any penalty, expense, or liability, or for general, special, incidental, consequential, or other damages resulting therefrom.</w:t>
      </w:r>
    </w:p>
    <w:p w14:paraId="5459BE1E" w14:textId="77777777" w:rsidR="00887B51" w:rsidRDefault="00887B51" w:rsidP="00887B51">
      <w:pPr>
        <w:pStyle w:val="BodyText"/>
        <w:contextualSpacing/>
        <w:jc w:val="both"/>
      </w:pPr>
    </w:p>
    <w:p w14:paraId="28DFD44A" w14:textId="569B99EB" w:rsidR="00887B51" w:rsidRDefault="00887B51" w:rsidP="00887B51">
      <w:pPr>
        <w:pStyle w:val="BodyText"/>
        <w:numPr>
          <w:ilvl w:val="1"/>
          <w:numId w:val="14"/>
        </w:numPr>
        <w:ind w:left="720" w:hanging="720"/>
        <w:contextualSpacing/>
        <w:jc w:val="both"/>
      </w:pPr>
      <w:r w:rsidRPr="00E46176">
        <w:rPr>
          <w:u w:val="single"/>
        </w:rPr>
        <w:t>Criminal Background Check</w:t>
      </w:r>
      <w:r w:rsidRPr="00E46176">
        <w:t xml:space="preserve">. </w:t>
      </w:r>
      <w:r w:rsidRPr="00223855">
        <w:t xml:space="preserve">If </w:t>
      </w:r>
      <w:r w:rsidR="0043140A">
        <w:t xml:space="preserve">the CAEP </w:t>
      </w:r>
      <w:r>
        <w:t>Board</w:t>
      </w:r>
      <w:r w:rsidRPr="00223855">
        <w:t xml:space="preserve"> or its employees, agents</w:t>
      </w:r>
      <w:r>
        <w:t>,</w:t>
      </w:r>
      <w:r w:rsidRPr="00223855">
        <w:t xml:space="preserve"> or representatives will have unsupervised contact with Idaho public school children when performing any duty required by this Agreement, then </w:t>
      </w:r>
      <w:r w:rsidR="0043140A">
        <w:t xml:space="preserve">the CAEP </w:t>
      </w:r>
      <w:r>
        <w:t>Board</w:t>
      </w:r>
      <w:r w:rsidRPr="00223855">
        <w:t xml:space="preserve"> or its employees, agents</w:t>
      </w:r>
      <w:r>
        <w:t xml:space="preserve">, </w:t>
      </w:r>
      <w:r w:rsidRPr="00223855">
        <w:t>or representatives shall submit to a criminal background check performed pursuant to Idaho Code section 33-130. Said criminal background check results shall be accessible to the SDE prior to performance of this Agreement. Failure of the</w:t>
      </w:r>
      <w:r w:rsidR="0043140A">
        <w:t xml:space="preserve"> CAEP</w:t>
      </w:r>
      <w:r w:rsidRPr="00223855">
        <w:t xml:space="preserve"> </w:t>
      </w:r>
      <w:r>
        <w:t>Board</w:t>
      </w:r>
      <w:r w:rsidRPr="00223855">
        <w:t xml:space="preserve"> or its employees, agents</w:t>
      </w:r>
      <w:r>
        <w:t>,</w:t>
      </w:r>
      <w:r w:rsidRPr="00223855">
        <w:t xml:space="preserve"> or representatives to submit to such criminal background check or failure to pass such criminal background check shall constitute a material breach of the Agreement, and the SDE reserves the right to terminate this Agreement without </w:t>
      </w:r>
      <w:r w:rsidRPr="00223855">
        <w:lastRenderedPageBreak/>
        <w:t>incurring any liability for payment to</w:t>
      </w:r>
      <w:r w:rsidR="0043140A">
        <w:t xml:space="preserve"> the CAEP</w:t>
      </w:r>
      <w:r w:rsidRPr="00223855">
        <w:t xml:space="preserve"> </w:t>
      </w:r>
      <w:r>
        <w:t>Board</w:t>
      </w:r>
      <w:r w:rsidRPr="00223855">
        <w:t>.</w:t>
      </w:r>
    </w:p>
    <w:p w14:paraId="179BC62C" w14:textId="77777777" w:rsidR="00887B51" w:rsidRDefault="00887B51" w:rsidP="00C546B0">
      <w:pPr>
        <w:pStyle w:val="BodyText"/>
        <w:ind w:left="720"/>
        <w:contextualSpacing/>
        <w:jc w:val="both"/>
      </w:pPr>
    </w:p>
    <w:p w14:paraId="2C10F63B" w14:textId="5FDC7E22" w:rsidR="00887B51" w:rsidRDefault="00887B51" w:rsidP="00C546B0">
      <w:pPr>
        <w:pStyle w:val="BodyText"/>
        <w:numPr>
          <w:ilvl w:val="1"/>
          <w:numId w:val="14"/>
        </w:numPr>
        <w:ind w:left="720" w:hanging="720"/>
        <w:contextualSpacing/>
        <w:jc w:val="both"/>
      </w:pPr>
      <w:r w:rsidRPr="00887B51">
        <w:rPr>
          <w:u w:val="single"/>
        </w:rPr>
        <w:t>Sovereign Immunity</w:t>
      </w:r>
      <w:r w:rsidRPr="00607D83">
        <w:t xml:space="preserve">. Nothing contained herein shall be deemed to constitute a waiver of the </w:t>
      </w:r>
      <w:r>
        <w:t>State</w:t>
      </w:r>
      <w:r w:rsidRPr="00607D83">
        <w:t>’s sovereign immunity, which immunity is hereby expressly reserved.</w:t>
      </w:r>
    </w:p>
    <w:p w14:paraId="31221601" w14:textId="77777777" w:rsidR="00767DCF" w:rsidRPr="00F92E9A" w:rsidRDefault="00767DCF" w:rsidP="00C546B0">
      <w:pPr>
        <w:pStyle w:val="ListParagraph"/>
        <w:widowControl w:val="0"/>
        <w:ind w:left="432"/>
      </w:pPr>
    </w:p>
    <w:p w14:paraId="44FE9774" w14:textId="3592F797" w:rsidR="006566EF" w:rsidRDefault="006566EF" w:rsidP="001A4DC3">
      <w:pPr>
        <w:pStyle w:val="ListParagraph"/>
        <w:widowControl w:val="0"/>
        <w:ind w:left="900"/>
        <w:rPr>
          <w:rFonts w:cs="Times New Roman"/>
        </w:rPr>
      </w:pPr>
    </w:p>
    <w:p w14:paraId="62313817" w14:textId="77777777" w:rsidR="0038251E" w:rsidRPr="00F92E9A" w:rsidRDefault="0038251E" w:rsidP="001A4DC3">
      <w:pPr>
        <w:pStyle w:val="ListParagraph"/>
        <w:widowControl w:val="0"/>
        <w:ind w:left="900"/>
        <w:rPr>
          <w:rFonts w:cs="Times New Roman"/>
        </w:rPr>
      </w:pPr>
    </w:p>
    <w:p w14:paraId="0A1AC2AC" w14:textId="77777777" w:rsidR="006566EF" w:rsidRPr="001A4DC3" w:rsidRDefault="006566EF" w:rsidP="001A4DC3">
      <w:pPr>
        <w:pStyle w:val="Body"/>
      </w:pPr>
    </w:p>
    <w:p w14:paraId="3FAAF190" w14:textId="77777777" w:rsidR="006566EF" w:rsidRPr="001A4DC3" w:rsidRDefault="005D3EA2" w:rsidP="001A4DC3">
      <w:pPr>
        <w:pStyle w:val="Body"/>
        <w:tabs>
          <w:tab w:val="right" w:pos="5760"/>
          <w:tab w:val="right" w:pos="6480"/>
          <w:tab w:val="right" w:pos="9340"/>
        </w:tabs>
        <w:rPr>
          <w:u w:val="single"/>
        </w:rPr>
      </w:pPr>
      <w:r w:rsidRPr="001A4DC3">
        <w:rPr>
          <w:u w:val="single"/>
        </w:rPr>
        <w:tab/>
      </w:r>
      <w:r w:rsidRPr="001A4DC3">
        <w:tab/>
      </w:r>
      <w:r w:rsidRPr="001A4DC3">
        <w:rPr>
          <w:u w:val="single"/>
        </w:rPr>
        <w:tab/>
      </w:r>
    </w:p>
    <w:p w14:paraId="1C01FA2E" w14:textId="77777777" w:rsidR="006566EF" w:rsidRPr="001A4DC3" w:rsidRDefault="005D3EA2" w:rsidP="001A4DC3">
      <w:pPr>
        <w:pStyle w:val="Body"/>
        <w:tabs>
          <w:tab w:val="right" w:pos="9340"/>
        </w:tabs>
      </w:pPr>
      <w:r w:rsidRPr="001A4DC3">
        <w:rPr>
          <w:lang w:val="de-DE"/>
        </w:rPr>
        <w:t xml:space="preserve">Christopher Koch, President </w:t>
      </w:r>
      <w:r w:rsidRPr="001A4DC3">
        <w:rPr>
          <w:lang w:val="de-DE"/>
        </w:rPr>
        <w:tab/>
        <w:t>DATE</w:t>
      </w:r>
    </w:p>
    <w:p w14:paraId="12E77A86" w14:textId="77777777" w:rsidR="006566EF" w:rsidRPr="001A4DC3" w:rsidRDefault="005D3EA2" w:rsidP="001A4DC3">
      <w:pPr>
        <w:pStyle w:val="Body"/>
      </w:pPr>
      <w:r w:rsidRPr="001A4DC3">
        <w:t>Council for the Accreditation of Educator Preparation</w:t>
      </w:r>
    </w:p>
    <w:p w14:paraId="555428EA" w14:textId="77777777" w:rsidR="006566EF" w:rsidRPr="001A4DC3" w:rsidRDefault="006566EF" w:rsidP="001A4DC3">
      <w:pPr>
        <w:pStyle w:val="Body"/>
      </w:pPr>
    </w:p>
    <w:p w14:paraId="18B288BB" w14:textId="77777777" w:rsidR="006566EF" w:rsidRPr="001A4DC3" w:rsidRDefault="006566EF" w:rsidP="001A4DC3">
      <w:pPr>
        <w:pStyle w:val="Body"/>
      </w:pPr>
    </w:p>
    <w:p w14:paraId="346E6FC3" w14:textId="36EDF7BC" w:rsidR="00131980" w:rsidRPr="00F92E9A" w:rsidRDefault="00131980" w:rsidP="00131980">
      <w:pPr>
        <w:pStyle w:val="Body"/>
        <w:rPr>
          <w:rFonts w:cs="Times New Roman"/>
        </w:rPr>
      </w:pPr>
      <w:r w:rsidRPr="6BF9A8AD">
        <w:rPr>
          <w:rFonts w:cs="Times New Roman"/>
        </w:rPr>
        <w:t xml:space="preserve">By signing this agreement, the undersigned agrees to be bound by the terms outlined </w:t>
      </w:r>
      <w:r w:rsidR="40627B22" w:rsidRPr="6BF9A8AD">
        <w:rPr>
          <w:rFonts w:cs="Times New Roman"/>
        </w:rPr>
        <w:t>above and</w:t>
      </w:r>
      <w:r w:rsidRPr="6BF9A8AD">
        <w:rPr>
          <w:rFonts w:cs="Times New Roman"/>
        </w:rPr>
        <w:t xml:space="preserve"> affirms that he or she has the authority to enter into this agreement on behalf of the State.</w:t>
      </w:r>
    </w:p>
    <w:p w14:paraId="14341ABE" w14:textId="6D5D1F83" w:rsidR="006566EF" w:rsidRDefault="006566EF" w:rsidP="001A4DC3">
      <w:pPr>
        <w:pStyle w:val="Body"/>
      </w:pPr>
    </w:p>
    <w:p w14:paraId="288EE911" w14:textId="77777777" w:rsidR="0038251E" w:rsidRDefault="0038251E" w:rsidP="001A4DC3">
      <w:pPr>
        <w:pStyle w:val="Body"/>
      </w:pPr>
    </w:p>
    <w:p w14:paraId="2339C2A8" w14:textId="77777777" w:rsidR="00131980" w:rsidRPr="001A4DC3" w:rsidRDefault="00131980" w:rsidP="001A4DC3">
      <w:pPr>
        <w:pStyle w:val="Body"/>
      </w:pPr>
    </w:p>
    <w:p w14:paraId="2DF2B654" w14:textId="77777777" w:rsidR="006566EF" w:rsidRPr="001A4DC3" w:rsidRDefault="005D3EA2" w:rsidP="001A4DC3">
      <w:pPr>
        <w:pStyle w:val="Body"/>
        <w:tabs>
          <w:tab w:val="right" w:pos="5760"/>
          <w:tab w:val="right" w:pos="6480"/>
          <w:tab w:val="right" w:pos="9340"/>
        </w:tabs>
        <w:rPr>
          <w:u w:val="single"/>
        </w:rPr>
      </w:pPr>
      <w:r w:rsidRPr="001A4DC3">
        <w:rPr>
          <w:u w:val="single"/>
        </w:rPr>
        <w:tab/>
      </w:r>
      <w:r w:rsidRPr="001A4DC3">
        <w:tab/>
      </w:r>
      <w:r w:rsidRPr="001A4DC3">
        <w:rPr>
          <w:u w:val="single"/>
        </w:rPr>
        <w:tab/>
      </w:r>
    </w:p>
    <w:p w14:paraId="53497D0C" w14:textId="44B03BA7" w:rsidR="006566EF" w:rsidRDefault="00AAC1C4" w:rsidP="001A4DC3">
      <w:pPr>
        <w:pStyle w:val="Body"/>
        <w:tabs>
          <w:tab w:val="right" w:pos="9340"/>
        </w:tabs>
      </w:pPr>
      <w:r>
        <w:t xml:space="preserve">Signatory </w:t>
      </w:r>
      <w:r w:rsidR="005D3EA2" w:rsidRPr="001A4DC3">
        <w:tab/>
        <w:t>DATE</w:t>
      </w:r>
    </w:p>
    <w:p w14:paraId="55F9A255" w14:textId="3AF03EDA" w:rsidR="6CBB1ECE" w:rsidRDefault="6CBB1ECE" w:rsidP="6BF9A8AD">
      <w:pPr>
        <w:pStyle w:val="Body"/>
      </w:pPr>
      <w:r>
        <w:t>State Authority</w:t>
      </w:r>
    </w:p>
    <w:p w14:paraId="35286FCF" w14:textId="6B563568" w:rsidR="006C58B6" w:rsidRDefault="006C58B6" w:rsidP="001A4DC3">
      <w:pPr>
        <w:pStyle w:val="Body"/>
        <w:tabs>
          <w:tab w:val="right" w:pos="9340"/>
        </w:tabs>
      </w:pPr>
    </w:p>
    <w:p w14:paraId="654BD57C" w14:textId="2949D5E2" w:rsidR="006C58B6" w:rsidRDefault="006C58B6" w:rsidP="001A4DC3">
      <w:pPr>
        <w:pStyle w:val="Body"/>
        <w:tabs>
          <w:tab w:val="right" w:pos="9340"/>
        </w:tabs>
      </w:pPr>
    </w:p>
    <w:p w14:paraId="109EFECB" w14:textId="3EA1745C" w:rsidR="006C58B6" w:rsidRDefault="006C58B6" w:rsidP="001A4DC3">
      <w:pPr>
        <w:pStyle w:val="Body"/>
        <w:tabs>
          <w:tab w:val="right" w:pos="9340"/>
        </w:tabs>
      </w:pPr>
    </w:p>
    <w:p w14:paraId="085BD1C6" w14:textId="77777777" w:rsidR="006C58B6" w:rsidRPr="001A4DC3" w:rsidRDefault="006C58B6" w:rsidP="006C58B6">
      <w:pPr>
        <w:pStyle w:val="Body"/>
      </w:pPr>
    </w:p>
    <w:p w14:paraId="458B51E0" w14:textId="77777777" w:rsidR="006C58B6" w:rsidRPr="001A4DC3" w:rsidRDefault="006C58B6" w:rsidP="006C58B6">
      <w:pPr>
        <w:pStyle w:val="Body"/>
        <w:tabs>
          <w:tab w:val="right" w:pos="5760"/>
          <w:tab w:val="right" w:pos="6480"/>
          <w:tab w:val="right" w:pos="9340"/>
        </w:tabs>
        <w:rPr>
          <w:u w:val="single"/>
        </w:rPr>
      </w:pPr>
      <w:r w:rsidRPr="001A4DC3">
        <w:rPr>
          <w:u w:val="single"/>
        </w:rPr>
        <w:tab/>
      </w:r>
      <w:r w:rsidRPr="001A4DC3">
        <w:tab/>
      </w:r>
      <w:r w:rsidRPr="001A4DC3">
        <w:rPr>
          <w:u w:val="single"/>
        </w:rPr>
        <w:tab/>
      </w:r>
    </w:p>
    <w:p w14:paraId="52F9B341" w14:textId="77777777" w:rsidR="006C58B6" w:rsidRPr="001A4DC3" w:rsidRDefault="006C58B6" w:rsidP="001A4DC3">
      <w:pPr>
        <w:pStyle w:val="Body"/>
        <w:tabs>
          <w:tab w:val="right" w:pos="9340"/>
        </w:tabs>
      </w:pPr>
    </w:p>
    <w:p w14:paraId="6141B0BB" w14:textId="77777777" w:rsidR="00E916A2" w:rsidRDefault="00E916A2" w:rsidP="007C3984">
      <w:pPr>
        <w:pStyle w:val="NormalWeb"/>
        <w:spacing w:before="0" w:after="0"/>
        <w:jc w:val="center"/>
        <w:outlineLvl w:val="0"/>
        <w:rPr>
          <w:b/>
          <w:bCs/>
        </w:rPr>
      </w:pPr>
    </w:p>
    <w:p w14:paraId="35A0B09A" w14:textId="77777777" w:rsidR="00E916A2" w:rsidRDefault="00E916A2" w:rsidP="007C3984">
      <w:pPr>
        <w:pStyle w:val="NormalWeb"/>
        <w:spacing w:before="0" w:after="0"/>
        <w:jc w:val="center"/>
        <w:outlineLvl w:val="0"/>
        <w:rPr>
          <w:b/>
          <w:bCs/>
        </w:rPr>
      </w:pPr>
    </w:p>
    <w:p w14:paraId="6B609050" w14:textId="77777777" w:rsidR="00C546B0" w:rsidRDefault="00C546B0" w:rsidP="007C3984">
      <w:pPr>
        <w:pStyle w:val="NormalWeb"/>
        <w:spacing w:before="0" w:after="0"/>
        <w:jc w:val="center"/>
        <w:outlineLvl w:val="0"/>
        <w:rPr>
          <w:b/>
          <w:bCs/>
        </w:rPr>
      </w:pPr>
    </w:p>
    <w:p w14:paraId="2CA9F733" w14:textId="77777777" w:rsidR="00C546B0" w:rsidRDefault="00C546B0" w:rsidP="007C3984">
      <w:pPr>
        <w:pStyle w:val="NormalWeb"/>
        <w:spacing w:before="0" w:after="0"/>
        <w:jc w:val="center"/>
        <w:outlineLvl w:val="0"/>
        <w:rPr>
          <w:b/>
          <w:bCs/>
        </w:rPr>
      </w:pPr>
    </w:p>
    <w:p w14:paraId="50E96A03" w14:textId="77777777" w:rsidR="00C546B0" w:rsidRDefault="00C546B0" w:rsidP="007C3984">
      <w:pPr>
        <w:pStyle w:val="NormalWeb"/>
        <w:spacing w:before="0" w:after="0"/>
        <w:jc w:val="center"/>
        <w:outlineLvl w:val="0"/>
        <w:rPr>
          <w:b/>
          <w:bCs/>
        </w:rPr>
      </w:pPr>
    </w:p>
    <w:p w14:paraId="5882D5C1" w14:textId="77777777" w:rsidR="00C546B0" w:rsidRDefault="00C546B0" w:rsidP="007C3984">
      <w:pPr>
        <w:pStyle w:val="NormalWeb"/>
        <w:spacing w:before="0" w:after="0"/>
        <w:jc w:val="center"/>
        <w:outlineLvl w:val="0"/>
        <w:rPr>
          <w:b/>
          <w:bCs/>
        </w:rPr>
      </w:pPr>
    </w:p>
    <w:p w14:paraId="2D907093" w14:textId="77777777" w:rsidR="00C546B0" w:rsidRDefault="00C546B0" w:rsidP="007C3984">
      <w:pPr>
        <w:pStyle w:val="NormalWeb"/>
        <w:spacing w:before="0" w:after="0"/>
        <w:jc w:val="center"/>
        <w:outlineLvl w:val="0"/>
        <w:rPr>
          <w:b/>
          <w:bCs/>
        </w:rPr>
      </w:pPr>
    </w:p>
    <w:p w14:paraId="18AAFDF7" w14:textId="77777777" w:rsidR="00C546B0" w:rsidRDefault="00C546B0" w:rsidP="007C3984">
      <w:pPr>
        <w:pStyle w:val="NormalWeb"/>
        <w:spacing w:before="0" w:after="0"/>
        <w:jc w:val="center"/>
        <w:outlineLvl w:val="0"/>
        <w:rPr>
          <w:b/>
          <w:bCs/>
        </w:rPr>
      </w:pPr>
    </w:p>
    <w:p w14:paraId="3A49AF15" w14:textId="77777777" w:rsidR="00C546B0" w:rsidRDefault="00C546B0" w:rsidP="007C3984">
      <w:pPr>
        <w:pStyle w:val="NormalWeb"/>
        <w:spacing w:before="0" w:after="0"/>
        <w:jc w:val="center"/>
        <w:outlineLvl w:val="0"/>
        <w:rPr>
          <w:b/>
          <w:bCs/>
        </w:rPr>
      </w:pPr>
    </w:p>
    <w:p w14:paraId="0B545194" w14:textId="77777777" w:rsidR="00C546B0" w:rsidRDefault="00C546B0" w:rsidP="007C3984">
      <w:pPr>
        <w:pStyle w:val="NormalWeb"/>
        <w:spacing w:before="0" w:after="0"/>
        <w:jc w:val="center"/>
        <w:outlineLvl w:val="0"/>
        <w:rPr>
          <w:b/>
          <w:bCs/>
        </w:rPr>
      </w:pPr>
    </w:p>
    <w:p w14:paraId="39A9A0DE" w14:textId="77777777" w:rsidR="00C546B0" w:rsidRDefault="00C546B0" w:rsidP="007C3984">
      <w:pPr>
        <w:pStyle w:val="NormalWeb"/>
        <w:spacing w:before="0" w:after="0"/>
        <w:jc w:val="center"/>
        <w:outlineLvl w:val="0"/>
        <w:rPr>
          <w:b/>
          <w:bCs/>
        </w:rPr>
      </w:pPr>
    </w:p>
    <w:p w14:paraId="324D2DFC" w14:textId="77777777" w:rsidR="00C546B0" w:rsidRDefault="00C546B0" w:rsidP="007C3984">
      <w:pPr>
        <w:pStyle w:val="NormalWeb"/>
        <w:spacing w:before="0" w:after="0"/>
        <w:jc w:val="center"/>
        <w:outlineLvl w:val="0"/>
        <w:rPr>
          <w:b/>
          <w:bCs/>
        </w:rPr>
      </w:pPr>
    </w:p>
    <w:p w14:paraId="07C6F1DF" w14:textId="77777777" w:rsidR="00C546B0" w:rsidRDefault="00C546B0" w:rsidP="007C3984">
      <w:pPr>
        <w:pStyle w:val="NormalWeb"/>
        <w:spacing w:before="0" w:after="0"/>
        <w:jc w:val="center"/>
        <w:outlineLvl w:val="0"/>
        <w:rPr>
          <w:b/>
          <w:bCs/>
        </w:rPr>
      </w:pPr>
    </w:p>
    <w:p w14:paraId="1BE23E31" w14:textId="77777777" w:rsidR="00C546B0" w:rsidRDefault="00C546B0" w:rsidP="007C3984">
      <w:pPr>
        <w:pStyle w:val="NormalWeb"/>
        <w:spacing w:before="0" w:after="0"/>
        <w:jc w:val="center"/>
        <w:outlineLvl w:val="0"/>
        <w:rPr>
          <w:b/>
          <w:bCs/>
        </w:rPr>
      </w:pPr>
    </w:p>
    <w:p w14:paraId="19982066" w14:textId="77777777" w:rsidR="00C546B0" w:rsidRDefault="00C546B0" w:rsidP="007C3984">
      <w:pPr>
        <w:pStyle w:val="NormalWeb"/>
        <w:spacing w:before="0" w:after="0"/>
        <w:jc w:val="center"/>
        <w:outlineLvl w:val="0"/>
        <w:rPr>
          <w:b/>
          <w:bCs/>
        </w:rPr>
      </w:pPr>
    </w:p>
    <w:p w14:paraId="65518D3B" w14:textId="77777777" w:rsidR="00C546B0" w:rsidRDefault="00C546B0" w:rsidP="007C3984">
      <w:pPr>
        <w:pStyle w:val="NormalWeb"/>
        <w:spacing w:before="0" w:after="0"/>
        <w:jc w:val="center"/>
        <w:outlineLvl w:val="0"/>
        <w:rPr>
          <w:b/>
          <w:bCs/>
        </w:rPr>
      </w:pPr>
    </w:p>
    <w:p w14:paraId="2050C63E" w14:textId="77777777" w:rsidR="00C546B0" w:rsidRDefault="00C546B0" w:rsidP="007C3984">
      <w:pPr>
        <w:pStyle w:val="NormalWeb"/>
        <w:spacing w:before="0" w:after="0"/>
        <w:jc w:val="center"/>
        <w:outlineLvl w:val="0"/>
        <w:rPr>
          <w:b/>
          <w:bCs/>
        </w:rPr>
      </w:pPr>
    </w:p>
    <w:p w14:paraId="7123CFFF" w14:textId="77777777" w:rsidR="00C546B0" w:rsidRDefault="00C546B0" w:rsidP="007C3984">
      <w:pPr>
        <w:pStyle w:val="NormalWeb"/>
        <w:spacing w:before="0" w:after="0"/>
        <w:jc w:val="center"/>
        <w:outlineLvl w:val="0"/>
        <w:rPr>
          <w:b/>
          <w:bCs/>
        </w:rPr>
      </w:pPr>
    </w:p>
    <w:p w14:paraId="4C493406" w14:textId="77777777" w:rsidR="00C546B0" w:rsidRDefault="00C546B0" w:rsidP="007C3984">
      <w:pPr>
        <w:pStyle w:val="NormalWeb"/>
        <w:spacing w:before="0" w:after="0"/>
        <w:jc w:val="center"/>
        <w:outlineLvl w:val="0"/>
        <w:rPr>
          <w:b/>
          <w:bCs/>
        </w:rPr>
      </w:pPr>
    </w:p>
    <w:p w14:paraId="39192695" w14:textId="77777777" w:rsidR="00C546B0" w:rsidRDefault="00C546B0" w:rsidP="007C3984">
      <w:pPr>
        <w:pStyle w:val="NormalWeb"/>
        <w:spacing w:before="0" w:after="0"/>
        <w:jc w:val="center"/>
        <w:outlineLvl w:val="0"/>
        <w:rPr>
          <w:b/>
          <w:bCs/>
        </w:rPr>
      </w:pPr>
    </w:p>
    <w:p w14:paraId="6B833828" w14:textId="77777777" w:rsidR="00C546B0" w:rsidRDefault="00C546B0" w:rsidP="007C3984">
      <w:pPr>
        <w:pStyle w:val="NormalWeb"/>
        <w:spacing w:before="0" w:after="0"/>
        <w:jc w:val="center"/>
        <w:outlineLvl w:val="0"/>
        <w:rPr>
          <w:b/>
          <w:bCs/>
        </w:rPr>
      </w:pPr>
    </w:p>
    <w:p w14:paraId="535EF06C" w14:textId="77777777" w:rsidR="00C546B0" w:rsidRDefault="00C546B0" w:rsidP="007C3984">
      <w:pPr>
        <w:pStyle w:val="NormalWeb"/>
        <w:spacing w:before="0" w:after="0"/>
        <w:jc w:val="center"/>
        <w:outlineLvl w:val="0"/>
        <w:rPr>
          <w:b/>
          <w:bCs/>
        </w:rPr>
      </w:pPr>
    </w:p>
    <w:p w14:paraId="61EB7138" w14:textId="77777777" w:rsidR="00C546B0" w:rsidRDefault="00C546B0" w:rsidP="007C3984">
      <w:pPr>
        <w:pStyle w:val="NormalWeb"/>
        <w:spacing w:before="0" w:after="0"/>
        <w:jc w:val="center"/>
        <w:outlineLvl w:val="0"/>
        <w:rPr>
          <w:b/>
          <w:bCs/>
        </w:rPr>
      </w:pPr>
    </w:p>
    <w:p w14:paraId="1CA9D75A" w14:textId="77777777" w:rsidR="00C546B0" w:rsidRDefault="00C546B0" w:rsidP="007C3984">
      <w:pPr>
        <w:pStyle w:val="NormalWeb"/>
        <w:spacing w:before="0" w:after="0"/>
        <w:jc w:val="center"/>
        <w:outlineLvl w:val="0"/>
        <w:rPr>
          <w:b/>
          <w:bCs/>
        </w:rPr>
      </w:pPr>
    </w:p>
    <w:p w14:paraId="26BA126A" w14:textId="77777777" w:rsidR="00C546B0" w:rsidRDefault="00C546B0" w:rsidP="007C3984">
      <w:pPr>
        <w:pStyle w:val="NormalWeb"/>
        <w:spacing w:before="0" w:after="0"/>
        <w:jc w:val="center"/>
        <w:outlineLvl w:val="0"/>
        <w:rPr>
          <w:b/>
          <w:bCs/>
        </w:rPr>
      </w:pPr>
    </w:p>
    <w:p w14:paraId="6B05F655" w14:textId="77777777" w:rsidR="00C546B0" w:rsidRDefault="00C546B0" w:rsidP="007C3984">
      <w:pPr>
        <w:pStyle w:val="NormalWeb"/>
        <w:spacing w:before="0" w:after="0"/>
        <w:jc w:val="center"/>
        <w:outlineLvl w:val="0"/>
        <w:rPr>
          <w:b/>
          <w:bCs/>
        </w:rPr>
      </w:pPr>
    </w:p>
    <w:p w14:paraId="059333DE" w14:textId="4B61339D" w:rsidR="006566EF" w:rsidRPr="001A4DC3" w:rsidRDefault="005D3EA2" w:rsidP="007C3984">
      <w:pPr>
        <w:pStyle w:val="NormalWeb"/>
        <w:spacing w:before="0" w:after="0"/>
        <w:jc w:val="center"/>
        <w:outlineLvl w:val="0"/>
        <w:rPr>
          <w:b/>
          <w:bCs/>
        </w:rPr>
      </w:pPr>
      <w:r w:rsidRPr="001A4DC3">
        <w:rPr>
          <w:b/>
          <w:bCs/>
        </w:rPr>
        <w:t xml:space="preserve">Appendix A: State Dues Structure </w:t>
      </w:r>
    </w:p>
    <w:p w14:paraId="5A78D83E" w14:textId="77777777" w:rsidR="00131980" w:rsidRDefault="00131980" w:rsidP="001A4DC3">
      <w:pPr>
        <w:pStyle w:val="NormalWeb"/>
        <w:spacing w:before="0" w:after="0"/>
        <w:rPr>
          <w:rFonts w:eastAsia="Arial Unicode MS" w:cs="Arial Unicode MS"/>
        </w:rPr>
      </w:pPr>
    </w:p>
    <w:p w14:paraId="3DE44BB9" w14:textId="2E316105" w:rsidR="00131980" w:rsidRPr="001A4DC3" w:rsidRDefault="00131980" w:rsidP="03334D83">
      <w:pPr>
        <w:pStyle w:val="NormalWeb"/>
        <w:spacing w:before="0" w:after="0"/>
        <w:rPr>
          <w:color w:val="000000" w:themeColor="text1"/>
        </w:rPr>
      </w:pPr>
    </w:p>
    <w:p w14:paraId="6741E6A2" w14:textId="4A2344FB" w:rsidR="006566EF" w:rsidRDefault="005D3EA2" w:rsidP="001A4DC3">
      <w:pPr>
        <w:pStyle w:val="NormalWeb"/>
        <w:spacing w:before="0" w:after="0"/>
        <w:rPr>
          <w:rFonts w:eastAsia="Arial Unicode MS" w:cs="Arial Unicode MS"/>
        </w:rPr>
      </w:pPr>
      <w:r w:rsidRPr="001A4DC3">
        <w:rPr>
          <w:rFonts w:eastAsia="Arial Unicode MS" w:cs="Arial Unicode MS"/>
        </w:rPr>
        <w:t xml:space="preserve">Annual costs for supporting activities associated with </w:t>
      </w:r>
      <w:r w:rsidR="00DE1BEB">
        <w:rPr>
          <w:rFonts w:eastAsia="Arial Unicode MS" w:cs="Arial Unicode MS"/>
        </w:rPr>
        <w:t>S</w:t>
      </w:r>
      <w:r w:rsidR="00DE1BEB" w:rsidRPr="001A4DC3">
        <w:rPr>
          <w:rFonts w:eastAsia="Arial Unicode MS" w:cs="Arial Unicode MS"/>
        </w:rPr>
        <w:t xml:space="preserve">tate </w:t>
      </w:r>
      <w:r w:rsidR="00DE1BEB">
        <w:rPr>
          <w:rFonts w:eastAsia="Arial Unicode MS" w:cs="Arial Unicode MS"/>
        </w:rPr>
        <w:t>P</w:t>
      </w:r>
      <w:r w:rsidR="00DE1BEB" w:rsidRPr="001A4DC3">
        <w:rPr>
          <w:rFonts w:eastAsia="Arial Unicode MS" w:cs="Arial Unicode MS"/>
        </w:rPr>
        <w:t xml:space="preserve">artnerships </w:t>
      </w:r>
      <w:r w:rsidRPr="001A4DC3">
        <w:rPr>
          <w:rFonts w:eastAsia="Arial Unicode MS" w:cs="Arial Unicode MS"/>
        </w:rPr>
        <w:t xml:space="preserve">have both fixed and proportional components which include costs associated with the CAEP Clinic, fall and spring </w:t>
      </w:r>
      <w:r w:rsidR="00DE1BEB" w:rsidRPr="001A4DC3">
        <w:rPr>
          <w:rFonts w:eastAsia="Arial Unicode MS" w:cs="Arial Unicode MS"/>
        </w:rPr>
        <w:t xml:space="preserve">CAEP </w:t>
      </w:r>
      <w:r w:rsidR="00DE1BEB">
        <w:rPr>
          <w:rFonts w:eastAsia="Arial Unicode MS" w:cs="Arial Unicode MS"/>
        </w:rPr>
        <w:t>C</w:t>
      </w:r>
      <w:r w:rsidRPr="001A4DC3">
        <w:rPr>
          <w:rFonts w:eastAsia="Arial Unicode MS" w:cs="Arial Unicode MS"/>
        </w:rPr>
        <w:t xml:space="preserve">onferences, staff time, technology costs for maintaining workspaces </w:t>
      </w:r>
      <w:r w:rsidR="00234273">
        <w:rPr>
          <w:rFonts w:eastAsia="Arial Unicode MS" w:cs="Arial Unicode MS"/>
        </w:rPr>
        <w:t>within CAEP’s accreditation platform</w:t>
      </w:r>
      <w:r w:rsidRPr="001A4DC3">
        <w:rPr>
          <w:rFonts w:eastAsia="Arial Unicode MS" w:cs="Arial Unicode MS"/>
        </w:rPr>
        <w:t>, and other indirect expenses.</w:t>
      </w:r>
    </w:p>
    <w:p w14:paraId="7F960EC9" w14:textId="77777777" w:rsidR="00131980" w:rsidRPr="001A4DC3" w:rsidRDefault="00131980" w:rsidP="001A4DC3">
      <w:pPr>
        <w:pStyle w:val="NormalWeb"/>
        <w:spacing w:before="0" w:after="0"/>
      </w:pPr>
    </w:p>
    <w:p w14:paraId="6639B86E" w14:textId="15508235" w:rsidR="006566EF" w:rsidRDefault="005D3EA2" w:rsidP="001A4DC3">
      <w:pPr>
        <w:pStyle w:val="NormalWeb"/>
        <w:spacing w:before="0" w:after="0"/>
        <w:rPr>
          <w:rFonts w:eastAsia="Arial Unicode MS" w:cs="Arial Unicode MS"/>
        </w:rPr>
      </w:pPr>
      <w:r w:rsidRPr="003A16BC">
        <w:rPr>
          <w:rFonts w:eastAsia="Arial Unicode MS" w:cs="Arial Unicode MS"/>
        </w:rPr>
        <w:t>For the fixed and proportional amounts, states would be assessed $1,5</w:t>
      </w:r>
      <w:r w:rsidR="00AE5330" w:rsidRPr="003A16BC">
        <w:rPr>
          <w:rFonts w:eastAsia="Arial Unicode MS" w:cs="Arial Unicode MS"/>
        </w:rPr>
        <w:t>00</w:t>
      </w:r>
      <w:r w:rsidRPr="003A16BC">
        <w:rPr>
          <w:rFonts w:eastAsia="Arial Unicode MS" w:cs="Arial Unicode MS"/>
        </w:rPr>
        <w:t xml:space="preserve"> annually</w:t>
      </w:r>
      <w:r w:rsidR="7D9C4BDB" w:rsidRPr="003A16BC">
        <w:rPr>
          <w:rFonts w:eastAsia="Arial Unicode MS" w:cs="Arial Unicode MS"/>
        </w:rPr>
        <w:t xml:space="preserve"> </w:t>
      </w:r>
      <w:r w:rsidR="00323567" w:rsidRPr="003A16BC">
        <w:rPr>
          <w:rFonts w:eastAsia="Arial Unicode MS" w:cs="Arial Unicode MS"/>
        </w:rPr>
        <w:t>(reviewed on an annual basis)</w:t>
      </w:r>
      <w:r w:rsidRPr="003A16BC">
        <w:rPr>
          <w:rFonts w:eastAsia="Arial Unicode MS" w:cs="Arial Unicode MS"/>
        </w:rPr>
        <w:t xml:space="preserve"> to cover expenses for the spring convening and conference registration plus a portion of indirect expenses which are based on the actual percentage of CAEP member EPPs within each state</w:t>
      </w:r>
      <w:r w:rsidR="00B62D68">
        <w:rPr>
          <w:rFonts w:eastAsia="Arial Unicode MS" w:cs="Arial Unicode MS"/>
        </w:rPr>
        <w:t xml:space="preserve"> calculated yearly and provided to the state on an annual basis.</w:t>
      </w:r>
    </w:p>
    <w:p w14:paraId="482D0FAB" w14:textId="77777777" w:rsidR="00046FA1" w:rsidRDefault="00046FA1" w:rsidP="001A4DC3">
      <w:pPr>
        <w:pStyle w:val="NormalWeb"/>
        <w:spacing w:before="0" w:after="0"/>
        <w:rPr>
          <w:rFonts w:eastAsia="Arial Unicode MS" w:cs="Arial Unicode MS"/>
        </w:rPr>
      </w:pPr>
    </w:p>
    <w:p w14:paraId="34B81FD1" w14:textId="295F5118" w:rsidR="00046FA1" w:rsidRPr="003A16BC" w:rsidRDefault="00046FA1" w:rsidP="001A4DC3">
      <w:pPr>
        <w:pStyle w:val="NormalWeb"/>
        <w:spacing w:before="0" w:after="0"/>
        <w:rPr>
          <w:rFonts w:eastAsia="Arial Unicode MS" w:cs="Arial Unicode MS"/>
        </w:rPr>
      </w:pPr>
      <w:r>
        <w:rPr>
          <w:rFonts w:eastAsia="Arial Unicode MS" w:cs="Arial Unicode MS"/>
        </w:rPr>
        <w:t xml:space="preserve">Invoices submitted by the </w:t>
      </w:r>
      <w:r w:rsidR="0043140A">
        <w:rPr>
          <w:rFonts w:eastAsia="Arial Unicode MS" w:cs="Arial Unicode MS"/>
        </w:rPr>
        <w:t xml:space="preserve">CAEP </w:t>
      </w:r>
      <w:r>
        <w:rPr>
          <w:rFonts w:eastAsia="Arial Unicode MS" w:cs="Arial Unicode MS"/>
        </w:rPr>
        <w:t>Board to the State for work performed under this Agreement shall be accepted and processed for payment in accordance with Idaho Code section 67-2302.</w:t>
      </w:r>
    </w:p>
    <w:p w14:paraId="1B03F879" w14:textId="77777777" w:rsidR="00131980" w:rsidRPr="003A16BC" w:rsidRDefault="00131980" w:rsidP="001A4DC3">
      <w:pPr>
        <w:pStyle w:val="NormalWeb"/>
        <w:spacing w:before="0" w:after="0"/>
      </w:pPr>
    </w:p>
    <w:p w14:paraId="2AD3AA29" w14:textId="25C92523" w:rsidR="683210B7" w:rsidRPr="003A16BC" w:rsidRDefault="683210B7" w:rsidP="683210B7">
      <w:pPr>
        <w:rPr>
          <w:rFonts w:eastAsia="Times New Roman"/>
          <w:b/>
          <w:bCs/>
          <w:color w:val="000000" w:themeColor="text1"/>
          <w:sz w:val="22"/>
          <w:szCs w:val="22"/>
        </w:rPr>
      </w:pPr>
      <w:r w:rsidRPr="003A16BC">
        <w:rPr>
          <w:rFonts w:eastAsia="Times New Roman"/>
          <w:color w:val="000000" w:themeColor="text1"/>
          <w:sz w:val="22"/>
          <w:szCs w:val="22"/>
        </w:rPr>
        <w:t xml:space="preserve">Example 1: </w:t>
      </w:r>
      <w:r w:rsidRPr="003A16BC">
        <w:rPr>
          <w:rFonts w:eastAsia="Times New Roman"/>
          <w:b/>
          <w:bCs/>
          <w:color w:val="000000" w:themeColor="text1"/>
          <w:sz w:val="22"/>
          <w:szCs w:val="22"/>
        </w:rPr>
        <w:t>State A (CAEP Only Reviews)</w:t>
      </w:r>
    </w:p>
    <w:p w14:paraId="0E4B590E" w14:textId="3702DEAC" w:rsidR="683210B7" w:rsidRPr="003A16BC" w:rsidRDefault="683210B7" w:rsidP="683210B7">
      <w:pPr>
        <w:spacing w:line="257" w:lineRule="auto"/>
        <w:rPr>
          <w:rFonts w:eastAsia="Times New Roman"/>
          <w:color w:val="000000" w:themeColor="text1"/>
        </w:rPr>
      </w:pPr>
      <w:r w:rsidRPr="003A16BC">
        <w:rPr>
          <w:rFonts w:eastAsia="Times New Roman"/>
          <w:color w:val="000000" w:themeColor="text1"/>
        </w:rPr>
        <w:t xml:space="preserve">State A has 25 CAEP member EPPs, or 3.99% of total CAEP EPPs. </w:t>
      </w:r>
    </w:p>
    <w:p w14:paraId="6B325E19" w14:textId="2241B5F8" w:rsidR="683210B7" w:rsidRPr="003A16BC" w:rsidRDefault="683210B7" w:rsidP="683210B7">
      <w:pPr>
        <w:pStyle w:val="ListParagraph"/>
        <w:numPr>
          <w:ilvl w:val="0"/>
          <w:numId w:val="1"/>
        </w:numPr>
        <w:rPr>
          <w:rFonts w:eastAsia="Times New Roman" w:cs="Times New Roman"/>
          <w:color w:val="000000" w:themeColor="text1"/>
        </w:rPr>
      </w:pPr>
      <w:r w:rsidRPr="003A16BC">
        <w:rPr>
          <w:rFonts w:eastAsia="Times New Roman" w:cs="Times New Roman"/>
        </w:rPr>
        <w:t>The fixed amount is set at $1,500 per state.</w:t>
      </w:r>
    </w:p>
    <w:p w14:paraId="7975D88C" w14:textId="2B7DECF3" w:rsidR="683210B7" w:rsidRPr="003A16BC" w:rsidRDefault="683210B7" w:rsidP="683210B7">
      <w:pPr>
        <w:pStyle w:val="ListParagraph"/>
        <w:numPr>
          <w:ilvl w:val="0"/>
          <w:numId w:val="1"/>
        </w:numPr>
        <w:rPr>
          <w:rFonts w:eastAsia="Times New Roman" w:cs="Times New Roman"/>
          <w:color w:val="000000" w:themeColor="text1"/>
        </w:rPr>
      </w:pPr>
      <w:r w:rsidRPr="003A16BC">
        <w:rPr>
          <w:rFonts w:eastAsia="Times New Roman" w:cs="Times New Roman"/>
        </w:rPr>
        <w:t xml:space="preserve">The proportional amount is set at 3.99% of $325,000 (current total=services to all states) = $12,960. </w:t>
      </w:r>
    </w:p>
    <w:p w14:paraId="62B87476" w14:textId="4F21ACCC" w:rsidR="683210B7" w:rsidRPr="003A16BC" w:rsidRDefault="683210B7" w:rsidP="683210B7">
      <w:pPr>
        <w:rPr>
          <w:rFonts w:eastAsia="Times New Roman"/>
          <w:color w:val="000000" w:themeColor="text1"/>
          <w:sz w:val="22"/>
          <w:szCs w:val="22"/>
        </w:rPr>
      </w:pPr>
      <w:r w:rsidRPr="003A16BC">
        <w:rPr>
          <w:rFonts w:eastAsia="Times New Roman"/>
          <w:color w:val="000000" w:themeColor="text1"/>
          <w:sz w:val="22"/>
          <w:szCs w:val="22"/>
        </w:rPr>
        <w:t xml:space="preserve"> </w:t>
      </w:r>
    </w:p>
    <w:p w14:paraId="676BEE88" w14:textId="2243A65B" w:rsidR="683210B7" w:rsidRPr="003A16BC" w:rsidRDefault="683210B7" w:rsidP="683210B7">
      <w:pPr>
        <w:rPr>
          <w:rFonts w:eastAsia="Times New Roman"/>
          <w:color w:val="000000" w:themeColor="text1"/>
          <w:sz w:val="22"/>
          <w:szCs w:val="22"/>
        </w:rPr>
      </w:pPr>
      <w:r w:rsidRPr="003A16BC">
        <w:rPr>
          <w:rFonts w:eastAsia="Times New Roman"/>
          <w:color w:val="000000" w:themeColor="text1"/>
          <w:sz w:val="22"/>
          <w:szCs w:val="22"/>
        </w:rPr>
        <w:t xml:space="preserve">Therefore, the total fees for State A will be: </w:t>
      </w:r>
    </w:p>
    <w:p w14:paraId="697A6CF1" w14:textId="3CC14EF8" w:rsidR="683210B7" w:rsidRPr="003A16BC" w:rsidRDefault="683210B7" w:rsidP="683210B7">
      <w:pPr>
        <w:rPr>
          <w:rFonts w:eastAsia="Times New Roman"/>
          <w:color w:val="000000" w:themeColor="text1"/>
          <w:sz w:val="22"/>
          <w:szCs w:val="22"/>
        </w:rPr>
      </w:pPr>
      <w:r w:rsidRPr="003A16BC">
        <w:rPr>
          <w:rFonts w:eastAsia="Times New Roman"/>
          <w:color w:val="000000" w:themeColor="text1"/>
          <w:sz w:val="22"/>
          <w:szCs w:val="22"/>
        </w:rPr>
        <w:t>$1,500 (fixed) + $12,960 (proportional) = $14,460.</w:t>
      </w:r>
    </w:p>
    <w:p w14:paraId="1F36C10A" w14:textId="7F076409" w:rsidR="683210B7" w:rsidRPr="003A16BC" w:rsidRDefault="683210B7" w:rsidP="683210B7">
      <w:pPr>
        <w:rPr>
          <w:rFonts w:eastAsia="Times New Roman"/>
          <w:color w:val="000000" w:themeColor="text1"/>
          <w:sz w:val="22"/>
          <w:szCs w:val="22"/>
        </w:rPr>
      </w:pPr>
      <w:r w:rsidRPr="003A16BC">
        <w:rPr>
          <w:rFonts w:eastAsia="Times New Roman"/>
          <w:color w:val="000000" w:themeColor="text1"/>
          <w:sz w:val="22"/>
          <w:szCs w:val="22"/>
        </w:rPr>
        <w:t xml:space="preserve"> </w:t>
      </w:r>
    </w:p>
    <w:p w14:paraId="582DD47F" w14:textId="0412CB46" w:rsidR="683210B7" w:rsidRPr="003A16BC" w:rsidRDefault="683210B7" w:rsidP="683210B7">
      <w:pPr>
        <w:rPr>
          <w:rFonts w:eastAsia="Times New Roman"/>
          <w:b/>
          <w:bCs/>
          <w:color w:val="000000" w:themeColor="text1"/>
          <w:sz w:val="22"/>
          <w:szCs w:val="22"/>
        </w:rPr>
      </w:pPr>
      <w:r w:rsidRPr="003A16BC">
        <w:rPr>
          <w:rFonts w:eastAsia="Times New Roman"/>
          <w:color w:val="000000" w:themeColor="text1"/>
          <w:sz w:val="22"/>
          <w:szCs w:val="22"/>
        </w:rPr>
        <w:t xml:space="preserve">Example 2: </w:t>
      </w:r>
      <w:r w:rsidRPr="003A16BC">
        <w:rPr>
          <w:rFonts w:eastAsia="Times New Roman"/>
          <w:b/>
          <w:bCs/>
          <w:color w:val="000000" w:themeColor="text1"/>
          <w:sz w:val="22"/>
          <w:szCs w:val="22"/>
        </w:rPr>
        <w:t>State B (Joint Reviews)</w:t>
      </w:r>
    </w:p>
    <w:p w14:paraId="27AC47EE" w14:textId="0BF76B65" w:rsidR="683210B7" w:rsidRPr="003A16BC" w:rsidRDefault="683210B7" w:rsidP="683210B7">
      <w:pPr>
        <w:spacing w:line="257" w:lineRule="auto"/>
        <w:rPr>
          <w:rFonts w:eastAsia="Times New Roman"/>
          <w:color w:val="000000" w:themeColor="text1"/>
        </w:rPr>
      </w:pPr>
      <w:r w:rsidRPr="003A16BC">
        <w:rPr>
          <w:rFonts w:eastAsia="Times New Roman"/>
          <w:color w:val="000000" w:themeColor="text1"/>
        </w:rPr>
        <w:t xml:space="preserve">State B has 25 CAEP member EPPs, or 3.99% of total CAEP EPPs. </w:t>
      </w:r>
    </w:p>
    <w:p w14:paraId="2FFCAEB4" w14:textId="1A8EBEEC" w:rsidR="683210B7" w:rsidRPr="003A16BC" w:rsidRDefault="683210B7" w:rsidP="683210B7">
      <w:pPr>
        <w:pStyle w:val="ListParagraph"/>
        <w:numPr>
          <w:ilvl w:val="0"/>
          <w:numId w:val="1"/>
        </w:numPr>
        <w:rPr>
          <w:rFonts w:eastAsia="Times New Roman" w:cs="Times New Roman"/>
          <w:color w:val="000000" w:themeColor="text1"/>
        </w:rPr>
      </w:pPr>
      <w:r w:rsidRPr="003A16BC">
        <w:rPr>
          <w:rFonts w:eastAsia="Times New Roman" w:cs="Times New Roman"/>
        </w:rPr>
        <w:t>The fixed amount is set at $1,500 per state.</w:t>
      </w:r>
    </w:p>
    <w:p w14:paraId="453BD4C1" w14:textId="27A70F29" w:rsidR="683210B7" w:rsidRPr="003A16BC" w:rsidRDefault="683210B7" w:rsidP="683210B7">
      <w:pPr>
        <w:pStyle w:val="ListParagraph"/>
        <w:numPr>
          <w:ilvl w:val="0"/>
          <w:numId w:val="1"/>
        </w:numPr>
        <w:rPr>
          <w:rFonts w:eastAsia="Times New Roman" w:cs="Times New Roman"/>
          <w:color w:val="000000" w:themeColor="text1"/>
        </w:rPr>
      </w:pPr>
      <w:r w:rsidRPr="003A16BC">
        <w:rPr>
          <w:rFonts w:eastAsia="Times New Roman" w:cs="Times New Roman"/>
        </w:rPr>
        <w:t xml:space="preserve">The proportional amount is set at 3.99% of $325,000 (current total=services to all states) = $12,960. </w:t>
      </w:r>
    </w:p>
    <w:p w14:paraId="7006F00F" w14:textId="348DCD12" w:rsidR="683210B7" w:rsidRPr="003A16BC" w:rsidRDefault="683210B7" w:rsidP="683210B7">
      <w:pPr>
        <w:pStyle w:val="ListParagraph"/>
        <w:numPr>
          <w:ilvl w:val="0"/>
          <w:numId w:val="1"/>
        </w:numPr>
        <w:rPr>
          <w:rFonts w:eastAsia="Times New Roman" w:cs="Times New Roman"/>
          <w:color w:val="000000" w:themeColor="text1"/>
        </w:rPr>
      </w:pPr>
      <w:r w:rsidRPr="003A16BC">
        <w:rPr>
          <w:rFonts w:eastAsia="Times New Roman" w:cs="Times New Roman"/>
        </w:rPr>
        <w:t xml:space="preserve">The variable joint review fee (for 25 joint reviews) is 25 x $2,500 = $62,500/7years = $8,930. </w:t>
      </w:r>
    </w:p>
    <w:p w14:paraId="667966EB" w14:textId="6639F2B0" w:rsidR="683210B7" w:rsidRPr="003A16BC" w:rsidRDefault="683210B7" w:rsidP="683210B7">
      <w:pPr>
        <w:rPr>
          <w:rFonts w:eastAsia="Times New Roman"/>
          <w:color w:val="000000" w:themeColor="text1"/>
          <w:sz w:val="22"/>
          <w:szCs w:val="22"/>
        </w:rPr>
      </w:pPr>
      <w:r w:rsidRPr="003A16BC">
        <w:rPr>
          <w:rFonts w:eastAsia="Times New Roman"/>
          <w:color w:val="000000" w:themeColor="text1"/>
          <w:sz w:val="22"/>
          <w:szCs w:val="22"/>
        </w:rPr>
        <w:t xml:space="preserve"> </w:t>
      </w:r>
    </w:p>
    <w:p w14:paraId="49882C03" w14:textId="55053469" w:rsidR="683210B7" w:rsidRPr="003A16BC" w:rsidRDefault="683210B7" w:rsidP="683210B7">
      <w:pPr>
        <w:rPr>
          <w:rFonts w:eastAsia="Times New Roman"/>
          <w:color w:val="000000" w:themeColor="text1"/>
          <w:sz w:val="22"/>
          <w:szCs w:val="22"/>
        </w:rPr>
      </w:pPr>
      <w:r w:rsidRPr="003A16BC">
        <w:rPr>
          <w:rFonts w:eastAsia="Times New Roman"/>
          <w:color w:val="000000" w:themeColor="text1"/>
          <w:sz w:val="22"/>
          <w:szCs w:val="22"/>
        </w:rPr>
        <w:t xml:space="preserve">Therefore, the total fees for State B will be: </w:t>
      </w:r>
    </w:p>
    <w:p w14:paraId="4BF710C6" w14:textId="77C6F6E1" w:rsidR="683210B7" w:rsidRDefault="683210B7" w:rsidP="683210B7">
      <w:pPr>
        <w:rPr>
          <w:rFonts w:eastAsia="Times New Roman"/>
          <w:color w:val="000000" w:themeColor="text1"/>
          <w:sz w:val="22"/>
          <w:szCs w:val="22"/>
        </w:rPr>
      </w:pPr>
      <w:r w:rsidRPr="003A16BC">
        <w:rPr>
          <w:rFonts w:eastAsia="Times New Roman"/>
          <w:color w:val="000000" w:themeColor="text1"/>
          <w:sz w:val="22"/>
          <w:szCs w:val="22"/>
        </w:rPr>
        <w:t>$1,500 (fixed) + $12,960 (proportional) + $8,930 (variable joint review fee) = $23,390.</w:t>
      </w:r>
    </w:p>
    <w:p w14:paraId="64B8827B" w14:textId="117EA04D" w:rsidR="683210B7" w:rsidRDefault="683210B7" w:rsidP="683210B7">
      <w:pPr>
        <w:pStyle w:val="NormalWeb"/>
        <w:spacing w:before="0" w:after="0"/>
        <w:rPr>
          <w:color w:val="000000" w:themeColor="text1"/>
        </w:rPr>
      </w:pPr>
    </w:p>
    <w:sectPr w:rsidR="683210B7" w:rsidSect="00317586">
      <w:headerReference w:type="even" r:id="rId20"/>
      <w:headerReference w:type="default" r:id="rId21"/>
      <w:footerReference w:type="even" r:id="rId22"/>
      <w:footerReference w:type="default" r:id="rId23"/>
      <w:headerReference w:type="first" r:id="rId24"/>
      <w:footerReference w:type="first" r:id="rId25"/>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8DF4B" w14:textId="77777777" w:rsidR="00DC528A" w:rsidRDefault="00DC528A">
      <w:r>
        <w:separator/>
      </w:r>
    </w:p>
  </w:endnote>
  <w:endnote w:type="continuationSeparator" w:id="0">
    <w:p w14:paraId="617DF685" w14:textId="77777777" w:rsidR="00DC528A" w:rsidRDefault="00DC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quot;Times New Roman&quot;,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23FD" w14:textId="77777777" w:rsidR="00DE1BEB" w:rsidRDefault="00DE1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4322" w14:textId="17B874AC" w:rsidR="00DE1BEB" w:rsidRDefault="00DE1BEB">
    <w:pPr>
      <w:pStyle w:val="Footer"/>
      <w:tabs>
        <w:tab w:val="clear" w:pos="9360"/>
        <w:tab w:val="right" w:pos="9340"/>
      </w:tabs>
      <w:jc w:val="center"/>
    </w:pPr>
    <w:r>
      <w:fldChar w:fldCharType="begin"/>
    </w:r>
    <w:r>
      <w:instrText xml:space="preserve"> PAGE </w:instrText>
    </w:r>
    <w:r>
      <w:fldChar w:fldCharType="separate"/>
    </w:r>
    <w:r w:rsidR="00157A9D">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2F8DF" w14:textId="77777777" w:rsidR="00DE1BEB" w:rsidRDefault="00DE1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5D6AE" w14:textId="77777777" w:rsidR="00DC528A" w:rsidRDefault="00DC528A">
      <w:r>
        <w:separator/>
      </w:r>
    </w:p>
  </w:footnote>
  <w:footnote w:type="continuationSeparator" w:id="0">
    <w:p w14:paraId="15D00AC5" w14:textId="77777777" w:rsidR="00DC528A" w:rsidRDefault="00DC5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CDF3" w14:textId="4FA4504A" w:rsidR="00DE1BEB" w:rsidRDefault="00DE1B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971A" w14:textId="6DA8FD93" w:rsidR="00DE1BEB" w:rsidRDefault="00DE1BEB">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5A6B" w14:textId="2E42B19B" w:rsidR="00DE1BEB" w:rsidRDefault="00DE1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256B3"/>
    <w:multiLevelType w:val="hybridMultilevel"/>
    <w:tmpl w:val="D294085E"/>
    <w:styleLink w:val="ImportedStyle2"/>
    <w:lvl w:ilvl="0" w:tplc="75DE452A">
      <w:start w:val="1"/>
      <w:numFmt w:val="upperLetter"/>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C82E47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92F4EA">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75FCB1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38F8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EA33C0">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CC2401D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6A753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6B6E124">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A822A69"/>
    <w:multiLevelType w:val="hybridMultilevel"/>
    <w:tmpl w:val="6F14E84C"/>
    <w:styleLink w:val="ImportedStyle4"/>
    <w:lvl w:ilvl="0" w:tplc="454E1448">
      <w:start w:val="1"/>
      <w:numFmt w:val="decimal"/>
      <w:lvlText w:val="%1."/>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C0609DC">
      <w:start w:val="1"/>
      <w:numFmt w:val="lowerLetter"/>
      <w:lvlText w:val="%2."/>
      <w:lvlJc w:val="left"/>
      <w:pPr>
        <w:ind w:left="24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D94991C">
      <w:start w:val="1"/>
      <w:numFmt w:val="lowerRoman"/>
      <w:lvlText w:val="%3."/>
      <w:lvlJc w:val="left"/>
      <w:pPr>
        <w:ind w:left="3150" w:hanging="2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6528916">
      <w:start w:val="1"/>
      <w:numFmt w:val="decimal"/>
      <w:lvlText w:val="%4."/>
      <w:lvlJc w:val="left"/>
      <w:pPr>
        <w:ind w:left="387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2BEC46C">
      <w:start w:val="1"/>
      <w:numFmt w:val="lowerLetter"/>
      <w:lvlText w:val="%5."/>
      <w:lvlJc w:val="left"/>
      <w:pPr>
        <w:ind w:left="45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CA0C310">
      <w:start w:val="1"/>
      <w:numFmt w:val="lowerRoman"/>
      <w:lvlText w:val="%6."/>
      <w:lvlJc w:val="left"/>
      <w:pPr>
        <w:ind w:left="5310" w:hanging="2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552FFC0">
      <w:start w:val="1"/>
      <w:numFmt w:val="decimal"/>
      <w:lvlText w:val="%7."/>
      <w:lvlJc w:val="left"/>
      <w:pPr>
        <w:ind w:left="60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436A804">
      <w:start w:val="1"/>
      <w:numFmt w:val="lowerLetter"/>
      <w:lvlText w:val="%8."/>
      <w:lvlJc w:val="left"/>
      <w:pPr>
        <w:ind w:left="67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AA64564">
      <w:start w:val="1"/>
      <w:numFmt w:val="lowerRoman"/>
      <w:lvlText w:val="%9."/>
      <w:lvlJc w:val="left"/>
      <w:pPr>
        <w:ind w:left="7470" w:hanging="2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C9D532"/>
    <w:multiLevelType w:val="hybridMultilevel"/>
    <w:tmpl w:val="F1B415BA"/>
    <w:lvl w:ilvl="0" w:tplc="C64849D0">
      <w:start w:val="1"/>
      <w:numFmt w:val="bullet"/>
      <w:lvlText w:val="-"/>
      <w:lvlJc w:val="left"/>
      <w:pPr>
        <w:ind w:left="720" w:hanging="360"/>
      </w:pPr>
      <w:rPr>
        <w:rFonts w:ascii="&quot;Times New Roman&quot;,serif" w:hAnsi="&quot;Times New Roman&quot;,serif" w:hint="default"/>
      </w:rPr>
    </w:lvl>
    <w:lvl w:ilvl="1" w:tplc="2152B4D4">
      <w:start w:val="1"/>
      <w:numFmt w:val="bullet"/>
      <w:lvlText w:val="o"/>
      <w:lvlJc w:val="left"/>
      <w:pPr>
        <w:ind w:left="1440" w:hanging="360"/>
      </w:pPr>
      <w:rPr>
        <w:rFonts w:ascii="Courier New" w:hAnsi="Courier New" w:hint="default"/>
      </w:rPr>
    </w:lvl>
    <w:lvl w:ilvl="2" w:tplc="B218B1F4">
      <w:start w:val="1"/>
      <w:numFmt w:val="bullet"/>
      <w:lvlText w:val=""/>
      <w:lvlJc w:val="left"/>
      <w:pPr>
        <w:ind w:left="2160" w:hanging="360"/>
      </w:pPr>
      <w:rPr>
        <w:rFonts w:ascii="Wingdings" w:hAnsi="Wingdings" w:hint="default"/>
      </w:rPr>
    </w:lvl>
    <w:lvl w:ilvl="3" w:tplc="4FAE4418">
      <w:start w:val="1"/>
      <w:numFmt w:val="bullet"/>
      <w:lvlText w:val=""/>
      <w:lvlJc w:val="left"/>
      <w:pPr>
        <w:ind w:left="2880" w:hanging="360"/>
      </w:pPr>
      <w:rPr>
        <w:rFonts w:ascii="Symbol" w:hAnsi="Symbol" w:hint="default"/>
      </w:rPr>
    </w:lvl>
    <w:lvl w:ilvl="4" w:tplc="DBF4DEE2">
      <w:start w:val="1"/>
      <w:numFmt w:val="bullet"/>
      <w:lvlText w:val="o"/>
      <w:lvlJc w:val="left"/>
      <w:pPr>
        <w:ind w:left="3600" w:hanging="360"/>
      </w:pPr>
      <w:rPr>
        <w:rFonts w:ascii="Courier New" w:hAnsi="Courier New" w:hint="default"/>
      </w:rPr>
    </w:lvl>
    <w:lvl w:ilvl="5" w:tplc="2564C650">
      <w:start w:val="1"/>
      <w:numFmt w:val="bullet"/>
      <w:lvlText w:val=""/>
      <w:lvlJc w:val="left"/>
      <w:pPr>
        <w:ind w:left="4320" w:hanging="360"/>
      </w:pPr>
      <w:rPr>
        <w:rFonts w:ascii="Wingdings" w:hAnsi="Wingdings" w:hint="default"/>
      </w:rPr>
    </w:lvl>
    <w:lvl w:ilvl="6" w:tplc="A17A5434">
      <w:start w:val="1"/>
      <w:numFmt w:val="bullet"/>
      <w:lvlText w:val=""/>
      <w:lvlJc w:val="left"/>
      <w:pPr>
        <w:ind w:left="5040" w:hanging="360"/>
      </w:pPr>
      <w:rPr>
        <w:rFonts w:ascii="Symbol" w:hAnsi="Symbol" w:hint="default"/>
      </w:rPr>
    </w:lvl>
    <w:lvl w:ilvl="7" w:tplc="AADA070E">
      <w:start w:val="1"/>
      <w:numFmt w:val="bullet"/>
      <w:lvlText w:val="o"/>
      <w:lvlJc w:val="left"/>
      <w:pPr>
        <w:ind w:left="5760" w:hanging="360"/>
      </w:pPr>
      <w:rPr>
        <w:rFonts w:ascii="Courier New" w:hAnsi="Courier New" w:hint="default"/>
      </w:rPr>
    </w:lvl>
    <w:lvl w:ilvl="8" w:tplc="05F28F9E">
      <w:start w:val="1"/>
      <w:numFmt w:val="bullet"/>
      <w:lvlText w:val=""/>
      <w:lvlJc w:val="left"/>
      <w:pPr>
        <w:ind w:left="6480" w:hanging="360"/>
      </w:pPr>
      <w:rPr>
        <w:rFonts w:ascii="Wingdings" w:hAnsi="Wingdings" w:hint="default"/>
      </w:rPr>
    </w:lvl>
  </w:abstractNum>
  <w:abstractNum w:abstractNumId="3" w15:restartNumberingAfterBreak="0">
    <w:nsid w:val="1EEB644A"/>
    <w:multiLevelType w:val="hybridMultilevel"/>
    <w:tmpl w:val="54E2F1CA"/>
    <w:styleLink w:val="ImportedStyle7"/>
    <w:lvl w:ilvl="0" w:tplc="8A8A3242">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28961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444BE0">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28E8C3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4DC0A0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CC1422">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9BD48E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7482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CEB6D4">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DDF7317"/>
    <w:multiLevelType w:val="hybridMultilevel"/>
    <w:tmpl w:val="02D01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B00B4A"/>
    <w:multiLevelType w:val="hybridMultilevel"/>
    <w:tmpl w:val="77626E44"/>
    <w:styleLink w:val="ImportedStyle1"/>
    <w:lvl w:ilvl="0" w:tplc="C4825FF4">
      <w:start w:val="1"/>
      <w:numFmt w:val="upperLetter"/>
      <w:lvlText w:val="%1."/>
      <w:lvlJc w:val="left"/>
      <w:pPr>
        <w:ind w:left="90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791CAFB8">
      <w:start w:val="1"/>
      <w:numFmt w:val="lowerLetter"/>
      <w:lvlText w:val="%2."/>
      <w:lvlJc w:val="left"/>
      <w:pPr>
        <w:ind w:left="1620" w:hanging="450"/>
      </w:pPr>
      <w:rPr>
        <w:rFonts w:hAnsi="Arial Unicode MS"/>
        <w:caps w:val="0"/>
        <w:smallCaps w:val="0"/>
        <w:strike w:val="0"/>
        <w:dstrike w:val="0"/>
        <w:outline w:val="0"/>
        <w:emboss w:val="0"/>
        <w:imprint w:val="0"/>
        <w:spacing w:val="0"/>
        <w:w w:val="100"/>
        <w:kern w:val="0"/>
        <w:position w:val="0"/>
        <w:highlight w:val="none"/>
        <w:vertAlign w:val="baseline"/>
      </w:rPr>
    </w:lvl>
    <w:lvl w:ilvl="2" w:tplc="C9264B16">
      <w:start w:val="1"/>
      <w:numFmt w:val="lowerRoman"/>
      <w:lvlText w:val="%3."/>
      <w:lvlJc w:val="left"/>
      <w:pPr>
        <w:ind w:left="2340" w:hanging="375"/>
      </w:pPr>
      <w:rPr>
        <w:rFonts w:hAnsi="Arial Unicode MS"/>
        <w:caps w:val="0"/>
        <w:smallCaps w:val="0"/>
        <w:strike w:val="0"/>
        <w:dstrike w:val="0"/>
        <w:outline w:val="0"/>
        <w:emboss w:val="0"/>
        <w:imprint w:val="0"/>
        <w:spacing w:val="0"/>
        <w:w w:val="100"/>
        <w:kern w:val="0"/>
        <w:position w:val="0"/>
        <w:highlight w:val="none"/>
        <w:vertAlign w:val="baseline"/>
      </w:rPr>
    </w:lvl>
    <w:lvl w:ilvl="3" w:tplc="F376BA5E">
      <w:start w:val="1"/>
      <w:numFmt w:val="decimal"/>
      <w:lvlText w:val="%4."/>
      <w:lvlJc w:val="left"/>
      <w:pPr>
        <w:ind w:left="3060" w:hanging="450"/>
      </w:pPr>
      <w:rPr>
        <w:rFonts w:hAnsi="Arial Unicode MS"/>
        <w:caps w:val="0"/>
        <w:smallCaps w:val="0"/>
        <w:strike w:val="0"/>
        <w:dstrike w:val="0"/>
        <w:outline w:val="0"/>
        <w:emboss w:val="0"/>
        <w:imprint w:val="0"/>
        <w:spacing w:val="0"/>
        <w:w w:val="100"/>
        <w:kern w:val="0"/>
        <w:position w:val="0"/>
        <w:highlight w:val="none"/>
        <w:vertAlign w:val="baseline"/>
      </w:rPr>
    </w:lvl>
    <w:lvl w:ilvl="4" w:tplc="1B109374">
      <w:start w:val="1"/>
      <w:numFmt w:val="lowerLetter"/>
      <w:lvlText w:val="%5."/>
      <w:lvlJc w:val="left"/>
      <w:pPr>
        <w:ind w:left="3780" w:hanging="450"/>
      </w:pPr>
      <w:rPr>
        <w:rFonts w:hAnsi="Arial Unicode MS"/>
        <w:caps w:val="0"/>
        <w:smallCaps w:val="0"/>
        <w:strike w:val="0"/>
        <w:dstrike w:val="0"/>
        <w:outline w:val="0"/>
        <w:emboss w:val="0"/>
        <w:imprint w:val="0"/>
        <w:spacing w:val="0"/>
        <w:w w:val="100"/>
        <w:kern w:val="0"/>
        <w:position w:val="0"/>
        <w:highlight w:val="none"/>
        <w:vertAlign w:val="baseline"/>
      </w:rPr>
    </w:lvl>
    <w:lvl w:ilvl="5" w:tplc="500C4A7E">
      <w:start w:val="1"/>
      <w:numFmt w:val="lowerRoman"/>
      <w:lvlText w:val="%6."/>
      <w:lvlJc w:val="left"/>
      <w:pPr>
        <w:ind w:left="4500" w:hanging="375"/>
      </w:pPr>
      <w:rPr>
        <w:rFonts w:hAnsi="Arial Unicode MS"/>
        <w:caps w:val="0"/>
        <w:smallCaps w:val="0"/>
        <w:strike w:val="0"/>
        <w:dstrike w:val="0"/>
        <w:outline w:val="0"/>
        <w:emboss w:val="0"/>
        <w:imprint w:val="0"/>
        <w:spacing w:val="0"/>
        <w:w w:val="100"/>
        <w:kern w:val="0"/>
        <w:position w:val="0"/>
        <w:highlight w:val="none"/>
        <w:vertAlign w:val="baseline"/>
      </w:rPr>
    </w:lvl>
    <w:lvl w:ilvl="6" w:tplc="2A6CD216">
      <w:start w:val="1"/>
      <w:numFmt w:val="decimal"/>
      <w:lvlText w:val="%7."/>
      <w:lvlJc w:val="left"/>
      <w:pPr>
        <w:ind w:left="5220" w:hanging="450"/>
      </w:pPr>
      <w:rPr>
        <w:rFonts w:hAnsi="Arial Unicode MS"/>
        <w:caps w:val="0"/>
        <w:smallCaps w:val="0"/>
        <w:strike w:val="0"/>
        <w:dstrike w:val="0"/>
        <w:outline w:val="0"/>
        <w:emboss w:val="0"/>
        <w:imprint w:val="0"/>
        <w:spacing w:val="0"/>
        <w:w w:val="100"/>
        <w:kern w:val="0"/>
        <w:position w:val="0"/>
        <w:highlight w:val="none"/>
        <w:vertAlign w:val="baseline"/>
      </w:rPr>
    </w:lvl>
    <w:lvl w:ilvl="7" w:tplc="3112CE2E">
      <w:start w:val="1"/>
      <w:numFmt w:val="lowerLetter"/>
      <w:lvlText w:val="%8."/>
      <w:lvlJc w:val="left"/>
      <w:pPr>
        <w:ind w:left="5940" w:hanging="450"/>
      </w:pPr>
      <w:rPr>
        <w:rFonts w:hAnsi="Arial Unicode MS"/>
        <w:caps w:val="0"/>
        <w:smallCaps w:val="0"/>
        <w:strike w:val="0"/>
        <w:dstrike w:val="0"/>
        <w:outline w:val="0"/>
        <w:emboss w:val="0"/>
        <w:imprint w:val="0"/>
        <w:spacing w:val="0"/>
        <w:w w:val="100"/>
        <w:kern w:val="0"/>
        <w:position w:val="0"/>
        <w:highlight w:val="none"/>
        <w:vertAlign w:val="baseline"/>
      </w:rPr>
    </w:lvl>
    <w:lvl w:ilvl="8" w:tplc="562E7424">
      <w:start w:val="1"/>
      <w:numFmt w:val="lowerRoman"/>
      <w:lvlText w:val="%9."/>
      <w:lvlJc w:val="left"/>
      <w:pPr>
        <w:ind w:left="6660" w:hanging="3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36D5ED7"/>
    <w:multiLevelType w:val="multilevel"/>
    <w:tmpl w:val="5BE4D4D8"/>
    <w:lvl w:ilvl="0">
      <w:start w:val="1"/>
      <w:numFmt w:val="decimal"/>
      <w:lvlText w:val="%1."/>
      <w:lvlJc w:val="left"/>
      <w:pPr>
        <w:ind w:left="0" w:firstLine="0"/>
      </w:pPr>
      <w:rPr>
        <w:rFonts w:hint="default"/>
      </w:rPr>
    </w:lvl>
    <w:lvl w:ilvl="1">
      <w:start w:val="1"/>
      <w:numFmt w:val="decimal"/>
      <w:lvlText w:val="%1.%2."/>
      <w:lvlJc w:val="left"/>
      <w:pPr>
        <w:ind w:left="360" w:firstLine="0"/>
      </w:pPr>
      <w:rPr>
        <w:rFonts w:hint="default"/>
      </w:rPr>
    </w:lvl>
    <w:lvl w:ilvl="2">
      <w:start w:val="1"/>
      <w:numFmt w:val="decimal"/>
      <w:lvlText w:val="%1.%2.%3."/>
      <w:lvlJc w:val="left"/>
      <w:pPr>
        <w:ind w:left="720" w:firstLine="0"/>
      </w:pPr>
      <w:rPr>
        <w:rFonts w:hint="default"/>
      </w:rPr>
    </w:lvl>
    <w:lvl w:ilvl="3">
      <w:start w:val="1"/>
      <w:numFmt w:val="decimal"/>
      <w:lvlText w:val="%1.%2.%3.%4."/>
      <w:lvlJc w:val="left"/>
      <w:pPr>
        <w:ind w:left="1080" w:firstLine="0"/>
      </w:pPr>
      <w:rPr>
        <w:rFonts w:hint="default"/>
      </w:rPr>
    </w:lvl>
    <w:lvl w:ilvl="4">
      <w:start w:val="1"/>
      <w:numFmt w:val="decimal"/>
      <w:lvlText w:val="%1.%2.%3.%4.%5."/>
      <w:lvlJc w:val="left"/>
      <w:pPr>
        <w:ind w:left="1440" w:firstLine="0"/>
      </w:pPr>
      <w:rPr>
        <w:rFonts w:hint="default"/>
      </w:rPr>
    </w:lvl>
    <w:lvl w:ilvl="5">
      <w:start w:val="1"/>
      <w:numFmt w:val="decimal"/>
      <w:lvlText w:val="%1.%2.%3.%4.%5.%6."/>
      <w:lvlJc w:val="left"/>
      <w:pPr>
        <w:ind w:left="1800" w:firstLine="0"/>
      </w:pPr>
      <w:rPr>
        <w:rFonts w:hint="default"/>
      </w:rPr>
    </w:lvl>
    <w:lvl w:ilvl="6">
      <w:start w:val="1"/>
      <w:numFmt w:val="decimal"/>
      <w:lvlText w:val="%1.%2.%3.%4.%5.%6.%7."/>
      <w:lvlJc w:val="left"/>
      <w:pPr>
        <w:ind w:left="2160" w:firstLine="0"/>
      </w:pPr>
      <w:rPr>
        <w:rFonts w:hint="default"/>
      </w:rPr>
    </w:lvl>
    <w:lvl w:ilvl="7">
      <w:start w:val="1"/>
      <w:numFmt w:val="decimal"/>
      <w:lvlText w:val="%1.%2.%3.%4.%5.%6.%7.%8."/>
      <w:lvlJc w:val="left"/>
      <w:pPr>
        <w:ind w:left="2520" w:firstLine="0"/>
      </w:pPr>
      <w:rPr>
        <w:rFonts w:hint="default"/>
      </w:rPr>
    </w:lvl>
    <w:lvl w:ilvl="8">
      <w:start w:val="1"/>
      <w:numFmt w:val="decimal"/>
      <w:lvlText w:val="%1.%2.%3.%4.%5.%6.%7.%8.%9."/>
      <w:lvlJc w:val="left"/>
      <w:pPr>
        <w:ind w:left="2880" w:firstLine="0"/>
      </w:pPr>
      <w:rPr>
        <w:rFonts w:hint="default"/>
      </w:rPr>
    </w:lvl>
  </w:abstractNum>
  <w:abstractNum w:abstractNumId="7" w15:restartNumberingAfterBreak="0">
    <w:nsid w:val="49767845"/>
    <w:multiLevelType w:val="hybridMultilevel"/>
    <w:tmpl w:val="8E9A3DEC"/>
    <w:styleLink w:val="ImportedStyle5"/>
    <w:lvl w:ilvl="0" w:tplc="EBBC3452">
      <w:start w:val="1"/>
      <w:numFmt w:val="upperLetter"/>
      <w:lvlText w:val="%1."/>
      <w:lvlJc w:val="left"/>
      <w:pPr>
        <w:ind w:left="90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B0D08A8E">
      <w:start w:val="1"/>
      <w:numFmt w:val="lowerLetter"/>
      <w:lvlText w:val="%2."/>
      <w:lvlJc w:val="left"/>
      <w:pPr>
        <w:ind w:left="1620" w:hanging="450"/>
      </w:pPr>
      <w:rPr>
        <w:rFonts w:hAnsi="Arial Unicode MS"/>
        <w:caps w:val="0"/>
        <w:smallCaps w:val="0"/>
        <w:strike w:val="0"/>
        <w:dstrike w:val="0"/>
        <w:outline w:val="0"/>
        <w:emboss w:val="0"/>
        <w:imprint w:val="0"/>
        <w:spacing w:val="0"/>
        <w:w w:val="100"/>
        <w:kern w:val="0"/>
        <w:position w:val="0"/>
        <w:highlight w:val="none"/>
        <w:vertAlign w:val="baseline"/>
      </w:rPr>
    </w:lvl>
    <w:lvl w:ilvl="2" w:tplc="E744D2A8">
      <w:start w:val="1"/>
      <w:numFmt w:val="lowerRoman"/>
      <w:lvlText w:val="%3."/>
      <w:lvlJc w:val="left"/>
      <w:pPr>
        <w:ind w:left="2340" w:hanging="375"/>
      </w:pPr>
      <w:rPr>
        <w:rFonts w:hAnsi="Arial Unicode MS"/>
        <w:caps w:val="0"/>
        <w:smallCaps w:val="0"/>
        <w:strike w:val="0"/>
        <w:dstrike w:val="0"/>
        <w:outline w:val="0"/>
        <w:emboss w:val="0"/>
        <w:imprint w:val="0"/>
        <w:spacing w:val="0"/>
        <w:w w:val="100"/>
        <w:kern w:val="0"/>
        <w:position w:val="0"/>
        <w:highlight w:val="none"/>
        <w:vertAlign w:val="baseline"/>
      </w:rPr>
    </w:lvl>
    <w:lvl w:ilvl="3" w:tplc="2B560990">
      <w:start w:val="1"/>
      <w:numFmt w:val="decimal"/>
      <w:lvlText w:val="%4."/>
      <w:lvlJc w:val="left"/>
      <w:pPr>
        <w:ind w:left="3060" w:hanging="450"/>
      </w:pPr>
      <w:rPr>
        <w:rFonts w:hAnsi="Arial Unicode MS"/>
        <w:caps w:val="0"/>
        <w:smallCaps w:val="0"/>
        <w:strike w:val="0"/>
        <w:dstrike w:val="0"/>
        <w:outline w:val="0"/>
        <w:emboss w:val="0"/>
        <w:imprint w:val="0"/>
        <w:spacing w:val="0"/>
        <w:w w:val="100"/>
        <w:kern w:val="0"/>
        <w:position w:val="0"/>
        <w:highlight w:val="none"/>
        <w:vertAlign w:val="baseline"/>
      </w:rPr>
    </w:lvl>
    <w:lvl w:ilvl="4" w:tplc="13D2CA6C">
      <w:start w:val="1"/>
      <w:numFmt w:val="lowerLetter"/>
      <w:lvlText w:val="%5."/>
      <w:lvlJc w:val="left"/>
      <w:pPr>
        <w:ind w:left="3780" w:hanging="450"/>
      </w:pPr>
      <w:rPr>
        <w:rFonts w:hAnsi="Arial Unicode MS"/>
        <w:caps w:val="0"/>
        <w:smallCaps w:val="0"/>
        <w:strike w:val="0"/>
        <w:dstrike w:val="0"/>
        <w:outline w:val="0"/>
        <w:emboss w:val="0"/>
        <w:imprint w:val="0"/>
        <w:spacing w:val="0"/>
        <w:w w:val="100"/>
        <w:kern w:val="0"/>
        <w:position w:val="0"/>
        <w:highlight w:val="none"/>
        <w:vertAlign w:val="baseline"/>
      </w:rPr>
    </w:lvl>
    <w:lvl w:ilvl="5" w:tplc="4A66AC96">
      <w:start w:val="1"/>
      <w:numFmt w:val="lowerRoman"/>
      <w:lvlText w:val="%6."/>
      <w:lvlJc w:val="left"/>
      <w:pPr>
        <w:ind w:left="4500" w:hanging="375"/>
      </w:pPr>
      <w:rPr>
        <w:rFonts w:hAnsi="Arial Unicode MS"/>
        <w:caps w:val="0"/>
        <w:smallCaps w:val="0"/>
        <w:strike w:val="0"/>
        <w:dstrike w:val="0"/>
        <w:outline w:val="0"/>
        <w:emboss w:val="0"/>
        <w:imprint w:val="0"/>
        <w:spacing w:val="0"/>
        <w:w w:val="100"/>
        <w:kern w:val="0"/>
        <w:position w:val="0"/>
        <w:highlight w:val="none"/>
        <w:vertAlign w:val="baseline"/>
      </w:rPr>
    </w:lvl>
    <w:lvl w:ilvl="6" w:tplc="82661EA2">
      <w:start w:val="1"/>
      <w:numFmt w:val="decimal"/>
      <w:lvlText w:val="%7."/>
      <w:lvlJc w:val="left"/>
      <w:pPr>
        <w:ind w:left="5220" w:hanging="450"/>
      </w:pPr>
      <w:rPr>
        <w:rFonts w:hAnsi="Arial Unicode MS"/>
        <w:caps w:val="0"/>
        <w:smallCaps w:val="0"/>
        <w:strike w:val="0"/>
        <w:dstrike w:val="0"/>
        <w:outline w:val="0"/>
        <w:emboss w:val="0"/>
        <w:imprint w:val="0"/>
        <w:spacing w:val="0"/>
        <w:w w:val="100"/>
        <w:kern w:val="0"/>
        <w:position w:val="0"/>
        <w:highlight w:val="none"/>
        <w:vertAlign w:val="baseline"/>
      </w:rPr>
    </w:lvl>
    <w:lvl w:ilvl="7" w:tplc="ADA29784">
      <w:start w:val="1"/>
      <w:numFmt w:val="lowerLetter"/>
      <w:lvlText w:val="%8."/>
      <w:lvlJc w:val="left"/>
      <w:pPr>
        <w:ind w:left="5940" w:hanging="450"/>
      </w:pPr>
      <w:rPr>
        <w:rFonts w:hAnsi="Arial Unicode MS"/>
        <w:caps w:val="0"/>
        <w:smallCaps w:val="0"/>
        <w:strike w:val="0"/>
        <w:dstrike w:val="0"/>
        <w:outline w:val="0"/>
        <w:emboss w:val="0"/>
        <w:imprint w:val="0"/>
        <w:spacing w:val="0"/>
        <w:w w:val="100"/>
        <w:kern w:val="0"/>
        <w:position w:val="0"/>
        <w:highlight w:val="none"/>
        <w:vertAlign w:val="baseline"/>
      </w:rPr>
    </w:lvl>
    <w:lvl w:ilvl="8" w:tplc="4086A636">
      <w:start w:val="1"/>
      <w:numFmt w:val="lowerRoman"/>
      <w:lvlText w:val="%9."/>
      <w:lvlJc w:val="left"/>
      <w:pPr>
        <w:ind w:left="6660" w:hanging="3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AC7676F"/>
    <w:multiLevelType w:val="hybridMultilevel"/>
    <w:tmpl w:val="C2CEFEDC"/>
    <w:styleLink w:val="ImportedStyle3"/>
    <w:lvl w:ilvl="0" w:tplc="C3C29930">
      <w:start w:val="1"/>
      <w:numFmt w:val="decimal"/>
      <w:lvlText w:val="%1."/>
      <w:lvlJc w:val="left"/>
      <w:pPr>
        <w:ind w:left="180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3F3ADED8">
      <w:start w:val="1"/>
      <w:numFmt w:val="lowerLetter"/>
      <w:lvlText w:val="%2."/>
      <w:lvlJc w:val="left"/>
      <w:pPr>
        <w:ind w:left="252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BB32153E">
      <w:start w:val="1"/>
      <w:numFmt w:val="lowerRoman"/>
      <w:lvlText w:val="%3."/>
      <w:lvlJc w:val="left"/>
      <w:pPr>
        <w:ind w:left="3240" w:hanging="28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27E05C4">
      <w:start w:val="1"/>
      <w:numFmt w:val="decimal"/>
      <w:lvlText w:val="%4."/>
      <w:lvlJc w:val="left"/>
      <w:pPr>
        <w:ind w:left="39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A5F41474">
      <w:start w:val="1"/>
      <w:numFmt w:val="lowerLetter"/>
      <w:lvlText w:val="%5."/>
      <w:lvlJc w:val="left"/>
      <w:pPr>
        <w:ind w:left="468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135CEC60">
      <w:start w:val="1"/>
      <w:numFmt w:val="lowerRoman"/>
      <w:lvlText w:val="%6."/>
      <w:lvlJc w:val="left"/>
      <w:pPr>
        <w:ind w:left="5400" w:hanging="28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1AE7D62">
      <w:start w:val="1"/>
      <w:numFmt w:val="decimal"/>
      <w:lvlText w:val="%7."/>
      <w:lvlJc w:val="left"/>
      <w:pPr>
        <w:ind w:left="612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88EC418E">
      <w:start w:val="1"/>
      <w:numFmt w:val="lowerLetter"/>
      <w:lvlText w:val="%8."/>
      <w:lvlJc w:val="left"/>
      <w:pPr>
        <w:ind w:left="684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61D479BA">
      <w:start w:val="1"/>
      <w:numFmt w:val="lowerRoman"/>
      <w:lvlText w:val="%9."/>
      <w:lvlJc w:val="left"/>
      <w:pPr>
        <w:ind w:left="7560" w:hanging="28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E9B4E52"/>
    <w:multiLevelType w:val="hybridMultilevel"/>
    <w:tmpl w:val="DA8E3A94"/>
    <w:styleLink w:val="ImportedStyle6"/>
    <w:lvl w:ilvl="0" w:tplc="AA8EB732">
      <w:start w:val="1"/>
      <w:numFmt w:val="decimal"/>
      <w:lvlText w:val="%1."/>
      <w:lvlJc w:val="left"/>
      <w:pPr>
        <w:tabs>
          <w:tab w:val="left" w:pos="560"/>
          <w:tab w:val="left" w:pos="2240"/>
          <w:tab w:val="left" w:pos="2800"/>
          <w:tab w:val="left" w:pos="3360"/>
          <w:tab w:val="left" w:pos="3920"/>
          <w:tab w:val="left" w:pos="4480"/>
          <w:tab w:val="left" w:pos="5040"/>
          <w:tab w:val="left" w:pos="5600"/>
          <w:tab w:val="left" w:pos="6160"/>
          <w:tab w:val="left" w:pos="6720"/>
        </w:tabs>
        <w:ind w:left="12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D8E795C">
      <w:start w:val="1"/>
      <w:numFmt w:val="lowerLetter"/>
      <w:lvlText w:val="%2."/>
      <w:lvlJc w:val="left"/>
      <w:pPr>
        <w:tabs>
          <w:tab w:val="left" w:pos="560"/>
          <w:tab w:val="left" w:pos="1260"/>
          <w:tab w:val="left" w:pos="2240"/>
          <w:tab w:val="left" w:pos="2800"/>
          <w:tab w:val="left" w:pos="3360"/>
          <w:tab w:val="left" w:pos="3920"/>
          <w:tab w:val="left" w:pos="4480"/>
          <w:tab w:val="left" w:pos="5040"/>
          <w:tab w:val="left" w:pos="5600"/>
          <w:tab w:val="left" w:pos="6160"/>
          <w:tab w:val="left" w:pos="6720"/>
        </w:tabs>
        <w:ind w:left="19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08E05F8">
      <w:start w:val="1"/>
      <w:numFmt w:val="lowerRoman"/>
      <w:lvlText w:val="%3."/>
      <w:lvlJc w:val="left"/>
      <w:pPr>
        <w:tabs>
          <w:tab w:val="left" w:pos="560"/>
          <w:tab w:val="left" w:pos="1260"/>
          <w:tab w:val="left" w:pos="2240"/>
          <w:tab w:val="left" w:pos="2800"/>
          <w:tab w:val="left" w:pos="3360"/>
          <w:tab w:val="left" w:pos="3920"/>
          <w:tab w:val="left" w:pos="4480"/>
          <w:tab w:val="left" w:pos="5040"/>
          <w:tab w:val="left" w:pos="5600"/>
          <w:tab w:val="left" w:pos="6160"/>
          <w:tab w:val="left" w:pos="6720"/>
        </w:tabs>
        <w:ind w:left="270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7F566958">
      <w:start w:val="1"/>
      <w:numFmt w:val="decimal"/>
      <w:lvlText w:val="%4."/>
      <w:lvlJc w:val="left"/>
      <w:pPr>
        <w:tabs>
          <w:tab w:val="left" w:pos="560"/>
          <w:tab w:val="left" w:pos="1260"/>
          <w:tab w:val="left" w:pos="2240"/>
          <w:tab w:val="left" w:pos="2800"/>
          <w:tab w:val="left" w:pos="3920"/>
          <w:tab w:val="left" w:pos="4480"/>
          <w:tab w:val="left" w:pos="5040"/>
          <w:tab w:val="left" w:pos="5600"/>
          <w:tab w:val="left" w:pos="6160"/>
          <w:tab w:val="left" w:pos="6720"/>
        </w:tabs>
        <w:ind w:left="33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AD3C5F74">
      <w:start w:val="1"/>
      <w:numFmt w:val="lowerLetter"/>
      <w:lvlText w:val="%5."/>
      <w:lvlJc w:val="left"/>
      <w:pPr>
        <w:tabs>
          <w:tab w:val="left" w:pos="560"/>
          <w:tab w:val="left" w:pos="1260"/>
          <w:tab w:val="left" w:pos="2240"/>
          <w:tab w:val="left" w:pos="2800"/>
          <w:tab w:val="left" w:pos="3360"/>
          <w:tab w:val="left" w:pos="4480"/>
          <w:tab w:val="left" w:pos="5040"/>
          <w:tab w:val="left" w:pos="5600"/>
          <w:tab w:val="left" w:pos="6160"/>
          <w:tab w:val="left" w:pos="6720"/>
        </w:tabs>
        <w:ind w:left="3920" w:hanging="140"/>
      </w:pPr>
      <w:rPr>
        <w:rFonts w:hAnsi="Arial Unicode MS"/>
        <w:b/>
        <w:bCs/>
        <w:caps w:val="0"/>
        <w:smallCaps w:val="0"/>
        <w:strike w:val="0"/>
        <w:dstrike w:val="0"/>
        <w:outline w:val="0"/>
        <w:emboss w:val="0"/>
        <w:imprint w:val="0"/>
        <w:spacing w:val="0"/>
        <w:w w:val="100"/>
        <w:kern w:val="0"/>
        <w:position w:val="0"/>
        <w:highlight w:val="none"/>
        <w:vertAlign w:val="baseline"/>
      </w:rPr>
    </w:lvl>
    <w:lvl w:ilvl="5" w:tplc="4984BB00">
      <w:start w:val="1"/>
      <w:numFmt w:val="lowerRoman"/>
      <w:lvlText w:val="%6."/>
      <w:lvlJc w:val="left"/>
      <w:pPr>
        <w:tabs>
          <w:tab w:val="left" w:pos="560"/>
          <w:tab w:val="left" w:pos="1260"/>
          <w:tab w:val="left" w:pos="2240"/>
          <w:tab w:val="left" w:pos="2800"/>
          <w:tab w:val="left" w:pos="3360"/>
          <w:tab w:val="left" w:pos="3920"/>
          <w:tab w:val="left" w:pos="4480"/>
          <w:tab w:val="left" w:pos="5040"/>
          <w:tab w:val="left" w:pos="5600"/>
          <w:tab w:val="left" w:pos="6160"/>
          <w:tab w:val="left" w:pos="6720"/>
        </w:tabs>
        <w:ind w:left="48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A45E4B74">
      <w:start w:val="1"/>
      <w:numFmt w:val="decimal"/>
      <w:lvlText w:val="%7."/>
      <w:lvlJc w:val="left"/>
      <w:pPr>
        <w:tabs>
          <w:tab w:val="left" w:pos="560"/>
          <w:tab w:val="left" w:pos="1260"/>
          <w:tab w:val="left" w:pos="2240"/>
          <w:tab w:val="left" w:pos="2800"/>
          <w:tab w:val="left" w:pos="3360"/>
          <w:tab w:val="left" w:pos="3920"/>
          <w:tab w:val="left" w:pos="4480"/>
          <w:tab w:val="left" w:pos="5040"/>
          <w:tab w:val="left" w:pos="5600"/>
          <w:tab w:val="left" w:pos="6160"/>
          <w:tab w:val="left" w:pos="6720"/>
        </w:tabs>
        <w:ind w:left="55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96A420E">
      <w:start w:val="1"/>
      <w:numFmt w:val="lowerLetter"/>
      <w:lvlText w:val="%8."/>
      <w:lvlJc w:val="left"/>
      <w:pPr>
        <w:tabs>
          <w:tab w:val="left" w:pos="560"/>
          <w:tab w:val="left" w:pos="1260"/>
          <w:tab w:val="left" w:pos="2240"/>
          <w:tab w:val="left" w:pos="2800"/>
          <w:tab w:val="left" w:pos="3360"/>
          <w:tab w:val="left" w:pos="3920"/>
          <w:tab w:val="left" w:pos="4480"/>
          <w:tab w:val="left" w:pos="5040"/>
          <w:tab w:val="left" w:pos="5600"/>
          <w:tab w:val="left" w:pos="6720"/>
        </w:tabs>
        <w:ind w:left="6160" w:hanging="220"/>
      </w:pPr>
      <w:rPr>
        <w:rFonts w:hAnsi="Arial Unicode MS"/>
        <w:b/>
        <w:bCs/>
        <w:caps w:val="0"/>
        <w:smallCaps w:val="0"/>
        <w:strike w:val="0"/>
        <w:dstrike w:val="0"/>
        <w:outline w:val="0"/>
        <w:emboss w:val="0"/>
        <w:imprint w:val="0"/>
        <w:spacing w:val="0"/>
        <w:w w:val="100"/>
        <w:kern w:val="0"/>
        <w:position w:val="0"/>
        <w:highlight w:val="none"/>
        <w:vertAlign w:val="baseline"/>
      </w:rPr>
    </w:lvl>
    <w:lvl w:ilvl="8" w:tplc="8A34809E">
      <w:start w:val="1"/>
      <w:numFmt w:val="lowerRoman"/>
      <w:lvlText w:val="%9."/>
      <w:lvlJc w:val="left"/>
      <w:pPr>
        <w:tabs>
          <w:tab w:val="left" w:pos="560"/>
          <w:tab w:val="left" w:pos="1260"/>
          <w:tab w:val="left" w:pos="2240"/>
          <w:tab w:val="left" w:pos="2800"/>
          <w:tab w:val="left" w:pos="3360"/>
          <w:tab w:val="left" w:pos="3920"/>
          <w:tab w:val="left" w:pos="4480"/>
          <w:tab w:val="left" w:pos="5040"/>
          <w:tab w:val="left" w:pos="5600"/>
          <w:tab w:val="left" w:pos="6160"/>
          <w:tab w:val="left" w:pos="6720"/>
        </w:tabs>
        <w:ind w:left="702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AC90A11"/>
    <w:multiLevelType w:val="hybridMultilevel"/>
    <w:tmpl w:val="DB888A4C"/>
    <w:lvl w:ilvl="0" w:tplc="1E20FBC0">
      <w:start w:val="1"/>
      <w:numFmt w:val="decimal"/>
      <w:lvlText w:val="%1."/>
      <w:lvlJc w:val="left"/>
      <w:pPr>
        <w:ind w:left="720" w:hanging="360"/>
      </w:pPr>
    </w:lvl>
    <w:lvl w:ilvl="1" w:tplc="8E88688A">
      <w:start w:val="1"/>
      <w:numFmt w:val="lowerLetter"/>
      <w:lvlText w:val="%2."/>
      <w:lvlJc w:val="left"/>
      <w:pPr>
        <w:ind w:left="1440" w:hanging="360"/>
      </w:pPr>
    </w:lvl>
    <w:lvl w:ilvl="2" w:tplc="D742BD32">
      <w:start w:val="1"/>
      <w:numFmt w:val="decimal"/>
      <w:lvlText w:val="%3."/>
      <w:lvlJc w:val="left"/>
      <w:pPr>
        <w:ind w:left="2160" w:hanging="180"/>
      </w:pPr>
    </w:lvl>
    <w:lvl w:ilvl="3" w:tplc="9FF89DA4">
      <w:start w:val="1"/>
      <w:numFmt w:val="decimal"/>
      <w:lvlText w:val="%4."/>
      <w:lvlJc w:val="left"/>
      <w:pPr>
        <w:ind w:left="2880" w:hanging="360"/>
      </w:pPr>
    </w:lvl>
    <w:lvl w:ilvl="4" w:tplc="37341EAA">
      <w:start w:val="1"/>
      <w:numFmt w:val="lowerLetter"/>
      <w:lvlText w:val="%5."/>
      <w:lvlJc w:val="left"/>
      <w:pPr>
        <w:ind w:left="3600" w:hanging="360"/>
      </w:pPr>
    </w:lvl>
    <w:lvl w:ilvl="5" w:tplc="A54A71A6">
      <w:start w:val="1"/>
      <w:numFmt w:val="lowerRoman"/>
      <w:lvlText w:val="%6."/>
      <w:lvlJc w:val="right"/>
      <w:pPr>
        <w:ind w:left="4320" w:hanging="180"/>
      </w:pPr>
    </w:lvl>
    <w:lvl w:ilvl="6" w:tplc="788C0786">
      <w:start w:val="1"/>
      <w:numFmt w:val="decimal"/>
      <w:lvlText w:val="%7."/>
      <w:lvlJc w:val="left"/>
      <w:pPr>
        <w:ind w:left="5040" w:hanging="360"/>
      </w:pPr>
    </w:lvl>
    <w:lvl w:ilvl="7" w:tplc="00A06A08">
      <w:start w:val="1"/>
      <w:numFmt w:val="lowerLetter"/>
      <w:lvlText w:val="%8."/>
      <w:lvlJc w:val="left"/>
      <w:pPr>
        <w:ind w:left="5760" w:hanging="360"/>
      </w:pPr>
    </w:lvl>
    <w:lvl w:ilvl="8" w:tplc="34342E04">
      <w:start w:val="1"/>
      <w:numFmt w:val="lowerRoman"/>
      <w:lvlText w:val="%9."/>
      <w:lvlJc w:val="right"/>
      <w:pPr>
        <w:ind w:left="6480" w:hanging="180"/>
      </w:pPr>
    </w:lvl>
  </w:abstractNum>
  <w:abstractNum w:abstractNumId="11" w15:restartNumberingAfterBreak="0">
    <w:nsid w:val="6182767F"/>
    <w:multiLevelType w:val="multilevel"/>
    <w:tmpl w:val="7BACED20"/>
    <w:lvl w:ilvl="0">
      <w:start w:val="1"/>
      <w:numFmt w:val="decimal"/>
      <w:lvlText w:val="%1."/>
      <w:lvlJc w:val="left"/>
      <w:pPr>
        <w:ind w:left="360" w:hanging="360"/>
      </w:pPr>
      <w:rPr>
        <w:b/>
        <w:bCs/>
      </w:rPr>
    </w:lvl>
    <w:lvl w:ilvl="1">
      <w:start w:val="1"/>
      <w:numFmt w:val="decimal"/>
      <w:lvlText w:val="%1.%2."/>
      <w:lvlJc w:val="left"/>
      <w:pPr>
        <w:ind w:left="882" w:hanging="432"/>
      </w:pPr>
      <w:rPr>
        <w:color w:val="000000" w:themeColor="text1"/>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64D6CFE"/>
    <w:multiLevelType w:val="hybridMultilevel"/>
    <w:tmpl w:val="32A2DE0A"/>
    <w:lvl w:ilvl="0" w:tplc="C2361964">
      <w:start w:val="1"/>
      <w:numFmt w:val="decimal"/>
      <w:lvlText w:val="%1."/>
      <w:lvlJc w:val="left"/>
      <w:pPr>
        <w:ind w:left="720" w:hanging="360"/>
      </w:pPr>
    </w:lvl>
    <w:lvl w:ilvl="1" w:tplc="5C245AF0">
      <w:start w:val="1"/>
      <w:numFmt w:val="lowerLetter"/>
      <w:lvlText w:val="%2."/>
      <w:lvlJc w:val="left"/>
      <w:pPr>
        <w:ind w:left="1440" w:hanging="360"/>
      </w:pPr>
    </w:lvl>
    <w:lvl w:ilvl="2" w:tplc="3E6C046C">
      <w:start w:val="1"/>
      <w:numFmt w:val="decimal"/>
      <w:lvlText w:val="%3."/>
      <w:lvlJc w:val="left"/>
      <w:pPr>
        <w:ind w:left="2160" w:hanging="180"/>
      </w:pPr>
    </w:lvl>
    <w:lvl w:ilvl="3" w:tplc="FE0A77B8">
      <w:start w:val="1"/>
      <w:numFmt w:val="decimal"/>
      <w:lvlText w:val="%4."/>
      <w:lvlJc w:val="left"/>
      <w:pPr>
        <w:ind w:left="2880" w:hanging="360"/>
      </w:pPr>
    </w:lvl>
    <w:lvl w:ilvl="4" w:tplc="3B64D40A">
      <w:start w:val="1"/>
      <w:numFmt w:val="lowerLetter"/>
      <w:lvlText w:val="%5."/>
      <w:lvlJc w:val="left"/>
      <w:pPr>
        <w:ind w:left="3600" w:hanging="360"/>
      </w:pPr>
    </w:lvl>
    <w:lvl w:ilvl="5" w:tplc="0D04A4AE">
      <w:start w:val="1"/>
      <w:numFmt w:val="lowerRoman"/>
      <w:lvlText w:val="%6."/>
      <w:lvlJc w:val="right"/>
      <w:pPr>
        <w:ind w:left="4320" w:hanging="180"/>
      </w:pPr>
    </w:lvl>
    <w:lvl w:ilvl="6" w:tplc="59988108">
      <w:start w:val="1"/>
      <w:numFmt w:val="decimal"/>
      <w:lvlText w:val="%7."/>
      <w:lvlJc w:val="left"/>
      <w:pPr>
        <w:ind w:left="5040" w:hanging="360"/>
      </w:pPr>
    </w:lvl>
    <w:lvl w:ilvl="7" w:tplc="8D3CD906">
      <w:start w:val="1"/>
      <w:numFmt w:val="lowerLetter"/>
      <w:lvlText w:val="%8."/>
      <w:lvlJc w:val="left"/>
      <w:pPr>
        <w:ind w:left="5760" w:hanging="360"/>
      </w:pPr>
    </w:lvl>
    <w:lvl w:ilvl="8" w:tplc="66BE0F3C">
      <w:start w:val="1"/>
      <w:numFmt w:val="lowerRoman"/>
      <w:lvlText w:val="%9."/>
      <w:lvlJc w:val="right"/>
      <w:pPr>
        <w:ind w:left="6480" w:hanging="180"/>
      </w:pPr>
    </w:lvl>
  </w:abstractNum>
  <w:abstractNum w:abstractNumId="13" w15:restartNumberingAfterBreak="0">
    <w:nsid w:val="6F1F46B1"/>
    <w:multiLevelType w:val="multilevel"/>
    <w:tmpl w:val="CBA2BEC2"/>
    <w:lvl w:ilvl="0">
      <w:start w:val="11"/>
      <w:numFmt w:val="decimal"/>
      <w:lvlText w:val="%1"/>
      <w:lvlJc w:val="left"/>
      <w:pPr>
        <w:ind w:left="420" w:hanging="420"/>
      </w:pPr>
      <w:rPr>
        <w:rFonts w:hint="default"/>
        <w:u w:val="single"/>
      </w:rPr>
    </w:lvl>
    <w:lvl w:ilvl="1">
      <w:start w:val="9"/>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16cid:durableId="1016345120">
    <w:abstractNumId w:val="2"/>
  </w:num>
  <w:num w:numId="2" w16cid:durableId="1888372460">
    <w:abstractNumId w:val="10"/>
  </w:num>
  <w:num w:numId="3" w16cid:durableId="296645047">
    <w:abstractNumId w:val="12"/>
  </w:num>
  <w:num w:numId="4" w16cid:durableId="725690323">
    <w:abstractNumId w:val="3"/>
  </w:num>
  <w:num w:numId="5" w16cid:durableId="2133202700">
    <w:abstractNumId w:val="5"/>
  </w:num>
  <w:num w:numId="6" w16cid:durableId="1593932974">
    <w:abstractNumId w:val="0"/>
  </w:num>
  <w:num w:numId="7" w16cid:durableId="1279945901">
    <w:abstractNumId w:val="8"/>
  </w:num>
  <w:num w:numId="8" w16cid:durableId="1057126844">
    <w:abstractNumId w:val="1"/>
  </w:num>
  <w:num w:numId="9" w16cid:durableId="218055592">
    <w:abstractNumId w:val="7"/>
  </w:num>
  <w:num w:numId="10" w16cid:durableId="434716905">
    <w:abstractNumId w:val="9"/>
  </w:num>
  <w:num w:numId="11" w16cid:durableId="1248806956">
    <w:abstractNumId w:val="11"/>
  </w:num>
  <w:num w:numId="12" w16cid:durableId="1632055655">
    <w:abstractNumId w:val="6"/>
  </w:num>
  <w:num w:numId="13" w16cid:durableId="47850691">
    <w:abstractNumId w:val="4"/>
  </w:num>
  <w:num w:numId="14" w16cid:durableId="72236852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6EF"/>
    <w:rsid w:val="000042B3"/>
    <w:rsid w:val="00010301"/>
    <w:rsid w:val="00010A4E"/>
    <w:rsid w:val="00012B6F"/>
    <w:rsid w:val="00016B85"/>
    <w:rsid w:val="000211D1"/>
    <w:rsid w:val="00027AA6"/>
    <w:rsid w:val="00036574"/>
    <w:rsid w:val="0004350D"/>
    <w:rsid w:val="00046FA1"/>
    <w:rsid w:val="0006070E"/>
    <w:rsid w:val="00065217"/>
    <w:rsid w:val="00073AED"/>
    <w:rsid w:val="00083A6A"/>
    <w:rsid w:val="000979BE"/>
    <w:rsid w:val="000A05C8"/>
    <w:rsid w:val="000A7E34"/>
    <w:rsid w:val="000B610C"/>
    <w:rsid w:val="000C2E71"/>
    <w:rsid w:val="000C347D"/>
    <w:rsid w:val="000C370B"/>
    <w:rsid w:val="000C64D4"/>
    <w:rsid w:val="000D005B"/>
    <w:rsid w:val="000D07E7"/>
    <w:rsid w:val="000D08E1"/>
    <w:rsid w:val="000D2F13"/>
    <w:rsid w:val="000E17D5"/>
    <w:rsid w:val="000E4456"/>
    <w:rsid w:val="000F12D3"/>
    <w:rsid w:val="000F3483"/>
    <w:rsid w:val="000F4663"/>
    <w:rsid w:val="001007DA"/>
    <w:rsid w:val="00113E6B"/>
    <w:rsid w:val="001169F7"/>
    <w:rsid w:val="00124424"/>
    <w:rsid w:val="00131912"/>
    <w:rsid w:val="00131980"/>
    <w:rsid w:val="0013491F"/>
    <w:rsid w:val="00135FE3"/>
    <w:rsid w:val="001377F7"/>
    <w:rsid w:val="001410D0"/>
    <w:rsid w:val="00147698"/>
    <w:rsid w:val="0015752F"/>
    <w:rsid w:val="00157A9D"/>
    <w:rsid w:val="00186191"/>
    <w:rsid w:val="001876E1"/>
    <w:rsid w:val="001A3396"/>
    <w:rsid w:val="001A4DC3"/>
    <w:rsid w:val="001B7B04"/>
    <w:rsid w:val="001C63E9"/>
    <w:rsid w:val="001D2BF0"/>
    <w:rsid w:val="001E2E6B"/>
    <w:rsid w:val="001E48C6"/>
    <w:rsid w:val="001F41E7"/>
    <w:rsid w:val="001F4FB9"/>
    <w:rsid w:val="001F68C6"/>
    <w:rsid w:val="001F7017"/>
    <w:rsid w:val="0020494B"/>
    <w:rsid w:val="00220098"/>
    <w:rsid w:val="00225586"/>
    <w:rsid w:val="00225AE0"/>
    <w:rsid w:val="00232CE0"/>
    <w:rsid w:val="00234273"/>
    <w:rsid w:val="00240BFB"/>
    <w:rsid w:val="00250645"/>
    <w:rsid w:val="00250F06"/>
    <w:rsid w:val="002511C2"/>
    <w:rsid w:val="002646C7"/>
    <w:rsid w:val="0026535E"/>
    <w:rsid w:val="0026786F"/>
    <w:rsid w:val="0028507C"/>
    <w:rsid w:val="00287E48"/>
    <w:rsid w:val="002B1B9F"/>
    <w:rsid w:val="002B23D8"/>
    <w:rsid w:val="002C1803"/>
    <w:rsid w:val="002E1200"/>
    <w:rsid w:val="002E15CC"/>
    <w:rsid w:val="002E3E38"/>
    <w:rsid w:val="002E7049"/>
    <w:rsid w:val="002F5FB5"/>
    <w:rsid w:val="00302A12"/>
    <w:rsid w:val="00317586"/>
    <w:rsid w:val="003203E2"/>
    <w:rsid w:val="00320CE5"/>
    <w:rsid w:val="00323567"/>
    <w:rsid w:val="003326C3"/>
    <w:rsid w:val="003350ED"/>
    <w:rsid w:val="0033756B"/>
    <w:rsid w:val="0034437D"/>
    <w:rsid w:val="00353F51"/>
    <w:rsid w:val="00357AE4"/>
    <w:rsid w:val="0036709A"/>
    <w:rsid w:val="003671DB"/>
    <w:rsid w:val="00367798"/>
    <w:rsid w:val="00370558"/>
    <w:rsid w:val="00374D7C"/>
    <w:rsid w:val="0038251E"/>
    <w:rsid w:val="003910E9"/>
    <w:rsid w:val="00395CE0"/>
    <w:rsid w:val="003A16BC"/>
    <w:rsid w:val="003B246E"/>
    <w:rsid w:val="003B72D0"/>
    <w:rsid w:val="003C0A06"/>
    <w:rsid w:val="003C2AE5"/>
    <w:rsid w:val="003E1BB8"/>
    <w:rsid w:val="003F6EF8"/>
    <w:rsid w:val="00402170"/>
    <w:rsid w:val="004034F9"/>
    <w:rsid w:val="00403EEE"/>
    <w:rsid w:val="00405E41"/>
    <w:rsid w:val="0041253C"/>
    <w:rsid w:val="00417D4E"/>
    <w:rsid w:val="00422602"/>
    <w:rsid w:val="0043140A"/>
    <w:rsid w:val="00434ECE"/>
    <w:rsid w:val="00442D41"/>
    <w:rsid w:val="00445BDD"/>
    <w:rsid w:val="004506BF"/>
    <w:rsid w:val="00455619"/>
    <w:rsid w:val="00455B1F"/>
    <w:rsid w:val="00456CD9"/>
    <w:rsid w:val="00463DE8"/>
    <w:rsid w:val="00466640"/>
    <w:rsid w:val="00466AE4"/>
    <w:rsid w:val="00480407"/>
    <w:rsid w:val="004819E1"/>
    <w:rsid w:val="004959D8"/>
    <w:rsid w:val="00495B89"/>
    <w:rsid w:val="004A5BE8"/>
    <w:rsid w:val="004B4890"/>
    <w:rsid w:val="004C0B4B"/>
    <w:rsid w:val="004C7A5C"/>
    <w:rsid w:val="004E0BD1"/>
    <w:rsid w:val="004F0C7C"/>
    <w:rsid w:val="004F1A79"/>
    <w:rsid w:val="004F7FA3"/>
    <w:rsid w:val="00503717"/>
    <w:rsid w:val="00510522"/>
    <w:rsid w:val="00511365"/>
    <w:rsid w:val="005123E1"/>
    <w:rsid w:val="005201B8"/>
    <w:rsid w:val="00520931"/>
    <w:rsid w:val="00526DA0"/>
    <w:rsid w:val="00543E3E"/>
    <w:rsid w:val="00545100"/>
    <w:rsid w:val="00551297"/>
    <w:rsid w:val="00551B9C"/>
    <w:rsid w:val="0056279C"/>
    <w:rsid w:val="00564EA7"/>
    <w:rsid w:val="00565786"/>
    <w:rsid w:val="00571B00"/>
    <w:rsid w:val="00592625"/>
    <w:rsid w:val="005A337F"/>
    <w:rsid w:val="005C22B9"/>
    <w:rsid w:val="005D1B28"/>
    <w:rsid w:val="005D3EA2"/>
    <w:rsid w:val="005E2B9C"/>
    <w:rsid w:val="005E4FCB"/>
    <w:rsid w:val="005F3F04"/>
    <w:rsid w:val="00601BDF"/>
    <w:rsid w:val="00616E8E"/>
    <w:rsid w:val="00622065"/>
    <w:rsid w:val="00626579"/>
    <w:rsid w:val="006449AB"/>
    <w:rsid w:val="00653CAF"/>
    <w:rsid w:val="006566EF"/>
    <w:rsid w:val="00666F4B"/>
    <w:rsid w:val="006709DB"/>
    <w:rsid w:val="0067394D"/>
    <w:rsid w:val="00673DC6"/>
    <w:rsid w:val="006740B0"/>
    <w:rsid w:val="006746BD"/>
    <w:rsid w:val="00681375"/>
    <w:rsid w:val="0069688F"/>
    <w:rsid w:val="00697037"/>
    <w:rsid w:val="006A1711"/>
    <w:rsid w:val="006B0430"/>
    <w:rsid w:val="006B6B2F"/>
    <w:rsid w:val="006C01E5"/>
    <w:rsid w:val="006C58B6"/>
    <w:rsid w:val="006C5A92"/>
    <w:rsid w:val="006C5C42"/>
    <w:rsid w:val="006E00F1"/>
    <w:rsid w:val="006E16F8"/>
    <w:rsid w:val="006E2C56"/>
    <w:rsid w:val="007211A6"/>
    <w:rsid w:val="00742238"/>
    <w:rsid w:val="0074290B"/>
    <w:rsid w:val="007474BB"/>
    <w:rsid w:val="007572DB"/>
    <w:rsid w:val="0076239F"/>
    <w:rsid w:val="00767DCF"/>
    <w:rsid w:val="00786C87"/>
    <w:rsid w:val="00792F8A"/>
    <w:rsid w:val="00796119"/>
    <w:rsid w:val="007A396F"/>
    <w:rsid w:val="007B73B6"/>
    <w:rsid w:val="007C3984"/>
    <w:rsid w:val="007D01F6"/>
    <w:rsid w:val="007D3002"/>
    <w:rsid w:val="007E4C6E"/>
    <w:rsid w:val="007E5685"/>
    <w:rsid w:val="00801A2C"/>
    <w:rsid w:val="00802180"/>
    <w:rsid w:val="008078D2"/>
    <w:rsid w:val="00820073"/>
    <w:rsid w:val="00822F3F"/>
    <w:rsid w:val="00834DA0"/>
    <w:rsid w:val="008374AF"/>
    <w:rsid w:val="00842811"/>
    <w:rsid w:val="008464DC"/>
    <w:rsid w:val="0084760F"/>
    <w:rsid w:val="008550BB"/>
    <w:rsid w:val="008564B3"/>
    <w:rsid w:val="00861B88"/>
    <w:rsid w:val="00861CE7"/>
    <w:rsid w:val="00882465"/>
    <w:rsid w:val="00887B51"/>
    <w:rsid w:val="00894A9F"/>
    <w:rsid w:val="008952F9"/>
    <w:rsid w:val="00895A6E"/>
    <w:rsid w:val="008A3B1E"/>
    <w:rsid w:val="008B0914"/>
    <w:rsid w:val="008C4124"/>
    <w:rsid w:val="008C6C1E"/>
    <w:rsid w:val="008D3443"/>
    <w:rsid w:val="008D724D"/>
    <w:rsid w:val="008D79A1"/>
    <w:rsid w:val="008E2A0C"/>
    <w:rsid w:val="008E50DE"/>
    <w:rsid w:val="008E76F7"/>
    <w:rsid w:val="008F39AA"/>
    <w:rsid w:val="008F63FE"/>
    <w:rsid w:val="008F7705"/>
    <w:rsid w:val="00912678"/>
    <w:rsid w:val="00913031"/>
    <w:rsid w:val="0091708E"/>
    <w:rsid w:val="00932A42"/>
    <w:rsid w:val="00936985"/>
    <w:rsid w:val="00947ADE"/>
    <w:rsid w:val="00950FBA"/>
    <w:rsid w:val="00954B0E"/>
    <w:rsid w:val="00960479"/>
    <w:rsid w:val="00970AEE"/>
    <w:rsid w:val="00971428"/>
    <w:rsid w:val="009838B3"/>
    <w:rsid w:val="00987C54"/>
    <w:rsid w:val="00994EC5"/>
    <w:rsid w:val="009A2A3A"/>
    <w:rsid w:val="009B51D4"/>
    <w:rsid w:val="009B61F6"/>
    <w:rsid w:val="009D60D2"/>
    <w:rsid w:val="009E6E0A"/>
    <w:rsid w:val="009E6FDA"/>
    <w:rsid w:val="00A04C0B"/>
    <w:rsid w:val="00A176AE"/>
    <w:rsid w:val="00A33CCF"/>
    <w:rsid w:val="00A34D4D"/>
    <w:rsid w:val="00A518DA"/>
    <w:rsid w:val="00A5497F"/>
    <w:rsid w:val="00A62D26"/>
    <w:rsid w:val="00A7194D"/>
    <w:rsid w:val="00A93DA3"/>
    <w:rsid w:val="00AAC1C4"/>
    <w:rsid w:val="00AB6775"/>
    <w:rsid w:val="00AC138D"/>
    <w:rsid w:val="00AC2FCB"/>
    <w:rsid w:val="00AC68ED"/>
    <w:rsid w:val="00AD1A31"/>
    <w:rsid w:val="00AD233E"/>
    <w:rsid w:val="00AD596D"/>
    <w:rsid w:val="00AE5330"/>
    <w:rsid w:val="00AF1343"/>
    <w:rsid w:val="00AF155A"/>
    <w:rsid w:val="00B01F0E"/>
    <w:rsid w:val="00B028C7"/>
    <w:rsid w:val="00B111D0"/>
    <w:rsid w:val="00B137AA"/>
    <w:rsid w:val="00B16862"/>
    <w:rsid w:val="00B17396"/>
    <w:rsid w:val="00B22496"/>
    <w:rsid w:val="00B26138"/>
    <w:rsid w:val="00B26A2C"/>
    <w:rsid w:val="00B44241"/>
    <w:rsid w:val="00B47A11"/>
    <w:rsid w:val="00B5364B"/>
    <w:rsid w:val="00B62231"/>
    <w:rsid w:val="00B62B3C"/>
    <w:rsid w:val="00B62D68"/>
    <w:rsid w:val="00B658E3"/>
    <w:rsid w:val="00B73442"/>
    <w:rsid w:val="00B74FB7"/>
    <w:rsid w:val="00B751B1"/>
    <w:rsid w:val="00B77552"/>
    <w:rsid w:val="00B85913"/>
    <w:rsid w:val="00B8658A"/>
    <w:rsid w:val="00B9233F"/>
    <w:rsid w:val="00BA3680"/>
    <w:rsid w:val="00BD204F"/>
    <w:rsid w:val="00BD2B15"/>
    <w:rsid w:val="00BD77F5"/>
    <w:rsid w:val="00BE2457"/>
    <w:rsid w:val="00BE7904"/>
    <w:rsid w:val="00BF314B"/>
    <w:rsid w:val="00BF3EE7"/>
    <w:rsid w:val="00BF6549"/>
    <w:rsid w:val="00C01385"/>
    <w:rsid w:val="00C151E9"/>
    <w:rsid w:val="00C162BA"/>
    <w:rsid w:val="00C36624"/>
    <w:rsid w:val="00C45887"/>
    <w:rsid w:val="00C546B0"/>
    <w:rsid w:val="00C625BB"/>
    <w:rsid w:val="00C71254"/>
    <w:rsid w:val="00C8440B"/>
    <w:rsid w:val="00C85B37"/>
    <w:rsid w:val="00C92B85"/>
    <w:rsid w:val="00CA7581"/>
    <w:rsid w:val="00CA789D"/>
    <w:rsid w:val="00CB0218"/>
    <w:rsid w:val="00CB16E2"/>
    <w:rsid w:val="00CB174D"/>
    <w:rsid w:val="00CB7A38"/>
    <w:rsid w:val="00CC1F55"/>
    <w:rsid w:val="00CD3728"/>
    <w:rsid w:val="00CE7E86"/>
    <w:rsid w:val="00CF154E"/>
    <w:rsid w:val="00CF67BA"/>
    <w:rsid w:val="00D13E58"/>
    <w:rsid w:val="00D17597"/>
    <w:rsid w:val="00D254A6"/>
    <w:rsid w:val="00D2634E"/>
    <w:rsid w:val="00D3298A"/>
    <w:rsid w:val="00D344BD"/>
    <w:rsid w:val="00D34634"/>
    <w:rsid w:val="00D43092"/>
    <w:rsid w:val="00D52926"/>
    <w:rsid w:val="00D61199"/>
    <w:rsid w:val="00D82078"/>
    <w:rsid w:val="00D927C2"/>
    <w:rsid w:val="00D92E81"/>
    <w:rsid w:val="00D96855"/>
    <w:rsid w:val="00DA47ED"/>
    <w:rsid w:val="00DA5E6B"/>
    <w:rsid w:val="00DB26E9"/>
    <w:rsid w:val="00DB3141"/>
    <w:rsid w:val="00DB3F9D"/>
    <w:rsid w:val="00DC528A"/>
    <w:rsid w:val="00DC6545"/>
    <w:rsid w:val="00DD4FEC"/>
    <w:rsid w:val="00DD67B1"/>
    <w:rsid w:val="00DE1BEB"/>
    <w:rsid w:val="00DE499A"/>
    <w:rsid w:val="00E0211B"/>
    <w:rsid w:val="00E05CBC"/>
    <w:rsid w:val="00E06BA0"/>
    <w:rsid w:val="00E41EBD"/>
    <w:rsid w:val="00E5298B"/>
    <w:rsid w:val="00E542A2"/>
    <w:rsid w:val="00E543E9"/>
    <w:rsid w:val="00E578F3"/>
    <w:rsid w:val="00E60B8A"/>
    <w:rsid w:val="00E62219"/>
    <w:rsid w:val="00E803EA"/>
    <w:rsid w:val="00E85BD5"/>
    <w:rsid w:val="00E86CDC"/>
    <w:rsid w:val="00E916A2"/>
    <w:rsid w:val="00E9400B"/>
    <w:rsid w:val="00E97746"/>
    <w:rsid w:val="00EA55D7"/>
    <w:rsid w:val="00EA672B"/>
    <w:rsid w:val="00EB0235"/>
    <w:rsid w:val="00EB0C14"/>
    <w:rsid w:val="00EB4F9C"/>
    <w:rsid w:val="00EB589E"/>
    <w:rsid w:val="00EC3709"/>
    <w:rsid w:val="00EC73B8"/>
    <w:rsid w:val="00ED21DD"/>
    <w:rsid w:val="00EE2CD6"/>
    <w:rsid w:val="00EF764A"/>
    <w:rsid w:val="00F0386F"/>
    <w:rsid w:val="00F038CB"/>
    <w:rsid w:val="00F259C0"/>
    <w:rsid w:val="00F42381"/>
    <w:rsid w:val="00F5328D"/>
    <w:rsid w:val="00F54F02"/>
    <w:rsid w:val="00F5683C"/>
    <w:rsid w:val="00F72007"/>
    <w:rsid w:val="00F753ED"/>
    <w:rsid w:val="00F92E9A"/>
    <w:rsid w:val="00F969A1"/>
    <w:rsid w:val="00FA109A"/>
    <w:rsid w:val="00FA5F58"/>
    <w:rsid w:val="00FA6864"/>
    <w:rsid w:val="00FA768D"/>
    <w:rsid w:val="00FB1EB9"/>
    <w:rsid w:val="00FB2B55"/>
    <w:rsid w:val="00FB772C"/>
    <w:rsid w:val="00FF668A"/>
    <w:rsid w:val="016AC86D"/>
    <w:rsid w:val="0180B2A5"/>
    <w:rsid w:val="03334D83"/>
    <w:rsid w:val="07B97765"/>
    <w:rsid w:val="09AE12A6"/>
    <w:rsid w:val="0A1BF5A4"/>
    <w:rsid w:val="0A7871FF"/>
    <w:rsid w:val="0BF48892"/>
    <w:rsid w:val="0C9B13AB"/>
    <w:rsid w:val="0E90619D"/>
    <w:rsid w:val="0F896C73"/>
    <w:rsid w:val="0FFF0313"/>
    <w:rsid w:val="104A09FD"/>
    <w:rsid w:val="11D3EDB3"/>
    <w:rsid w:val="1403BE30"/>
    <w:rsid w:val="14FA2546"/>
    <w:rsid w:val="155BC031"/>
    <w:rsid w:val="16BD071D"/>
    <w:rsid w:val="17A197B0"/>
    <w:rsid w:val="19E7F2C9"/>
    <w:rsid w:val="1A1FE384"/>
    <w:rsid w:val="1BDDD0A9"/>
    <w:rsid w:val="1C448CAB"/>
    <w:rsid w:val="1DA31C9C"/>
    <w:rsid w:val="1E8DDC28"/>
    <w:rsid w:val="1F07556F"/>
    <w:rsid w:val="22A41F22"/>
    <w:rsid w:val="230EC9E1"/>
    <w:rsid w:val="234A7E9B"/>
    <w:rsid w:val="26D6FC69"/>
    <w:rsid w:val="27292E3A"/>
    <w:rsid w:val="2B4E49E5"/>
    <w:rsid w:val="2CD984B9"/>
    <w:rsid w:val="2D6056F7"/>
    <w:rsid w:val="2E5012FD"/>
    <w:rsid w:val="2FB82B23"/>
    <w:rsid w:val="32DC616F"/>
    <w:rsid w:val="33BA7FF6"/>
    <w:rsid w:val="33DA1B69"/>
    <w:rsid w:val="34420222"/>
    <w:rsid w:val="399233B1"/>
    <w:rsid w:val="39AA5BB9"/>
    <w:rsid w:val="3A1FC2B0"/>
    <w:rsid w:val="3A3DD454"/>
    <w:rsid w:val="3CE1FC7B"/>
    <w:rsid w:val="4021E054"/>
    <w:rsid w:val="40627B22"/>
    <w:rsid w:val="40ECBC16"/>
    <w:rsid w:val="417E785F"/>
    <w:rsid w:val="41EC107F"/>
    <w:rsid w:val="4348353A"/>
    <w:rsid w:val="46EBD59F"/>
    <w:rsid w:val="4B8F6C61"/>
    <w:rsid w:val="4D693CCD"/>
    <w:rsid w:val="4F4CAE6C"/>
    <w:rsid w:val="4FBB5BB8"/>
    <w:rsid w:val="52A8A361"/>
    <w:rsid w:val="5371A503"/>
    <w:rsid w:val="54003818"/>
    <w:rsid w:val="54767C06"/>
    <w:rsid w:val="54EB2119"/>
    <w:rsid w:val="551E4A24"/>
    <w:rsid w:val="59683BFA"/>
    <w:rsid w:val="597C3DF5"/>
    <w:rsid w:val="5DC5A2A1"/>
    <w:rsid w:val="5E7A9D5E"/>
    <w:rsid w:val="5F218C60"/>
    <w:rsid w:val="5F6B86A9"/>
    <w:rsid w:val="64D83771"/>
    <w:rsid w:val="64DEEBEF"/>
    <w:rsid w:val="67EB5507"/>
    <w:rsid w:val="67ED6602"/>
    <w:rsid w:val="683210B7"/>
    <w:rsid w:val="6A55FD3B"/>
    <w:rsid w:val="6ACFD338"/>
    <w:rsid w:val="6BF9A8AD"/>
    <w:rsid w:val="6CBB1ECE"/>
    <w:rsid w:val="6D38A2FD"/>
    <w:rsid w:val="6EAB3DC5"/>
    <w:rsid w:val="6EB507C5"/>
    <w:rsid w:val="6F787A13"/>
    <w:rsid w:val="70D1E174"/>
    <w:rsid w:val="711975AC"/>
    <w:rsid w:val="7177544C"/>
    <w:rsid w:val="72137A6A"/>
    <w:rsid w:val="744C2608"/>
    <w:rsid w:val="74C7371E"/>
    <w:rsid w:val="757327CF"/>
    <w:rsid w:val="75DDE8B6"/>
    <w:rsid w:val="76220EE4"/>
    <w:rsid w:val="7829B40B"/>
    <w:rsid w:val="7B6154CD"/>
    <w:rsid w:val="7BB6C7B1"/>
    <w:rsid w:val="7C8B2A29"/>
    <w:rsid w:val="7D8CCC38"/>
    <w:rsid w:val="7D9C4BDB"/>
    <w:rsid w:val="7E327C7E"/>
    <w:rsid w:val="7E5D0AB1"/>
    <w:rsid w:val="7ECB6816"/>
    <w:rsid w:val="7F6D7417"/>
    <w:rsid w:val="7FF7A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BA2C2"/>
  <w15:docId w15:val="{FAEEDEBA-A6D4-433F-9840-99CB12A0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Pr>
      <w:sz w:val="24"/>
      <w:szCs w:val="24"/>
    </w:rPr>
  </w:style>
  <w:style w:type="paragraph" w:styleId="Heading4">
    <w:name w:val="heading 4"/>
    <w:basedOn w:val="Normal"/>
    <w:link w:val="Heading4Char"/>
    <w:uiPriority w:val="9"/>
    <w:qFormat/>
    <w:rsid w:val="00653C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styleId="ListParagraph">
    <w:name w:val="List Paragraph"/>
    <w:uiPriority w:val="34"/>
    <w:qFormat/>
    <w:pPr>
      <w:ind w:left="720"/>
    </w:pPr>
    <w:rPr>
      <w:rFonts w:cs="Arial Unicode MS"/>
      <w:color w:val="000000"/>
      <w:sz w:val="24"/>
      <w:szCs w:val="24"/>
      <w:u w:color="000000"/>
    </w:rPr>
  </w:style>
  <w:style w:type="numbering" w:customStyle="1" w:styleId="ImportedStyle7">
    <w:name w:val="Imported Style 7"/>
    <w:pPr>
      <w:numPr>
        <w:numId w:val="4"/>
      </w:numPr>
    </w:pPr>
  </w:style>
  <w:style w:type="paragraph" w:customStyle="1" w:styleId="Default">
    <w:name w:val="Default"/>
    <w:rPr>
      <w:rFonts w:ascii="Arial" w:eastAsia="Arial" w:hAnsi="Arial" w:cs="Arial"/>
      <w:color w:val="000000"/>
      <w:sz w:val="24"/>
      <w:szCs w:val="24"/>
      <w:u w:color="000000"/>
    </w:rPr>
  </w:style>
  <w:style w:type="numbering" w:customStyle="1" w:styleId="ImportedStyle1">
    <w:name w:val="Imported Style 1"/>
    <w:pPr>
      <w:numPr>
        <w:numId w:val="5"/>
      </w:numPr>
    </w:pPr>
  </w:style>
  <w:style w:type="numbering" w:customStyle="1" w:styleId="ImportedStyle2">
    <w:name w:val="Imported Style 2"/>
    <w:pPr>
      <w:numPr>
        <w:numId w:val="6"/>
      </w:numPr>
    </w:pPr>
  </w:style>
  <w:style w:type="numbering" w:customStyle="1" w:styleId="ImportedStyle3">
    <w:name w:val="Imported Style 3"/>
    <w:pPr>
      <w:numPr>
        <w:numId w:val="7"/>
      </w:numPr>
    </w:pPr>
  </w:style>
  <w:style w:type="numbering" w:customStyle="1" w:styleId="ImportedStyle4">
    <w:name w:val="Imported Style 4"/>
    <w:pPr>
      <w:numPr>
        <w:numId w:val="8"/>
      </w:numPr>
    </w:pPr>
  </w:style>
  <w:style w:type="paragraph" w:styleId="CommentText">
    <w:name w:val="annotation text"/>
    <w:link w:val="CommentTextChar"/>
    <w:rPr>
      <w:rFonts w:cs="Arial Unicode MS"/>
      <w:color w:val="000000"/>
      <w:sz w:val="24"/>
      <w:szCs w:val="24"/>
      <w:u w:color="000000"/>
    </w:rPr>
  </w:style>
  <w:style w:type="numbering" w:customStyle="1" w:styleId="ImportedStyle5">
    <w:name w:val="Imported Style 5"/>
    <w:pPr>
      <w:numPr>
        <w:numId w:val="9"/>
      </w:numPr>
    </w:pPr>
  </w:style>
  <w:style w:type="numbering" w:customStyle="1" w:styleId="ImportedStyle6">
    <w:name w:val="Imported Style 6"/>
    <w:pPr>
      <w:numPr>
        <w:numId w:val="10"/>
      </w:numPr>
    </w:pPr>
  </w:style>
  <w:style w:type="paragraph" w:customStyle="1" w:styleId="ox-3a57c61f83-msonormal">
    <w:name w:val="ox-3a57c61f83-msonormal"/>
    <w:pPr>
      <w:spacing w:before="100" w:after="100"/>
    </w:pPr>
    <w:rPr>
      <w:rFonts w:cs="Arial Unicode MS"/>
      <w:color w:val="000000"/>
      <w:sz w:val="24"/>
      <w:szCs w:val="24"/>
      <w:u w:color="000000"/>
    </w:rPr>
  </w:style>
  <w:style w:type="paragraph" w:styleId="NormalWeb">
    <w:name w:val="Normal (Web)"/>
    <w:uiPriority w:val="99"/>
    <w:pPr>
      <w:spacing w:before="100" w:after="100"/>
    </w:pPr>
    <w:rPr>
      <w:rFonts w:eastAsia="Times New Roman"/>
      <w:color w:val="000000"/>
      <w:sz w:val="24"/>
      <w:szCs w:val="24"/>
      <w:u w:color="000000"/>
    </w:rPr>
  </w:style>
  <w:style w:type="character" w:styleId="CommentReference">
    <w:name w:val="annotation reference"/>
    <w:basedOn w:val="DefaultParagraphFont"/>
    <w:uiPriority w:val="99"/>
    <w:semiHidden/>
    <w:unhideWhenUsed/>
    <w:rsid w:val="0013491F"/>
    <w:rPr>
      <w:sz w:val="16"/>
      <w:szCs w:val="16"/>
    </w:rPr>
  </w:style>
  <w:style w:type="paragraph" w:styleId="CommentSubject">
    <w:name w:val="annotation subject"/>
    <w:basedOn w:val="CommentText"/>
    <w:next w:val="CommentText"/>
    <w:link w:val="CommentSubjectChar"/>
    <w:uiPriority w:val="99"/>
    <w:semiHidden/>
    <w:unhideWhenUsed/>
    <w:rsid w:val="0013491F"/>
    <w:rPr>
      <w:rFonts w:cs="Times New Roman"/>
      <w:b/>
      <w:bCs/>
      <w:color w:val="auto"/>
      <w:sz w:val="20"/>
      <w:szCs w:val="20"/>
    </w:rPr>
  </w:style>
  <w:style w:type="character" w:customStyle="1" w:styleId="CommentTextChar">
    <w:name w:val="Comment Text Char"/>
    <w:basedOn w:val="DefaultParagraphFont"/>
    <w:link w:val="CommentText"/>
    <w:rsid w:val="0013491F"/>
    <w:rPr>
      <w:rFonts w:cs="Arial Unicode MS"/>
      <w:color w:val="000000"/>
      <w:sz w:val="24"/>
      <w:szCs w:val="24"/>
      <w:u w:color="000000"/>
    </w:rPr>
  </w:style>
  <w:style w:type="character" w:customStyle="1" w:styleId="CommentSubjectChar">
    <w:name w:val="Comment Subject Char"/>
    <w:basedOn w:val="CommentTextChar"/>
    <w:link w:val="CommentSubject"/>
    <w:uiPriority w:val="99"/>
    <w:semiHidden/>
    <w:rsid w:val="0013491F"/>
    <w:rPr>
      <w:rFonts w:cs="Arial Unicode MS"/>
      <w:b/>
      <w:bCs/>
      <w:color w:val="000000"/>
      <w:sz w:val="24"/>
      <w:szCs w:val="24"/>
      <w:u w:color="000000"/>
    </w:rPr>
  </w:style>
  <w:style w:type="paragraph" w:styleId="BalloonText">
    <w:name w:val="Balloon Text"/>
    <w:basedOn w:val="Normal"/>
    <w:link w:val="BalloonTextChar"/>
    <w:uiPriority w:val="99"/>
    <w:semiHidden/>
    <w:unhideWhenUsed/>
    <w:rsid w:val="001349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91F"/>
    <w:rPr>
      <w:rFonts w:ascii="Segoe UI" w:hAnsi="Segoe UI" w:cs="Segoe UI"/>
      <w:sz w:val="18"/>
      <w:szCs w:val="18"/>
    </w:rPr>
  </w:style>
  <w:style w:type="character" w:customStyle="1" w:styleId="apple-converted-space">
    <w:name w:val="apple-converted-space"/>
    <w:basedOn w:val="DefaultParagraphFont"/>
    <w:rsid w:val="006E16F8"/>
  </w:style>
  <w:style w:type="paragraph" w:styleId="Header">
    <w:name w:val="header"/>
    <w:basedOn w:val="Normal"/>
    <w:link w:val="HeaderChar"/>
    <w:uiPriority w:val="99"/>
    <w:unhideWhenUsed/>
    <w:rsid w:val="002511C2"/>
    <w:pPr>
      <w:tabs>
        <w:tab w:val="center" w:pos="4680"/>
        <w:tab w:val="right" w:pos="9360"/>
      </w:tabs>
    </w:pPr>
  </w:style>
  <w:style w:type="character" w:customStyle="1" w:styleId="HeaderChar">
    <w:name w:val="Header Char"/>
    <w:basedOn w:val="DefaultParagraphFont"/>
    <w:link w:val="Header"/>
    <w:uiPriority w:val="99"/>
    <w:rsid w:val="002511C2"/>
    <w:rPr>
      <w:sz w:val="24"/>
      <w:szCs w:val="24"/>
    </w:rPr>
  </w:style>
  <w:style w:type="character" w:styleId="FollowedHyperlink">
    <w:name w:val="FollowedHyperlink"/>
    <w:basedOn w:val="DefaultParagraphFont"/>
    <w:uiPriority w:val="99"/>
    <w:semiHidden/>
    <w:unhideWhenUsed/>
    <w:rsid w:val="00653CAF"/>
    <w:rPr>
      <w:color w:val="FF00FF" w:themeColor="followedHyperlink"/>
      <w:u w:val="single"/>
    </w:rPr>
  </w:style>
  <w:style w:type="character" w:customStyle="1" w:styleId="Heading4Char">
    <w:name w:val="Heading 4 Char"/>
    <w:basedOn w:val="DefaultParagraphFont"/>
    <w:link w:val="Heading4"/>
    <w:uiPriority w:val="9"/>
    <w:rsid w:val="00653CAF"/>
    <w:rPr>
      <w:rFonts w:eastAsia="Times New Roman"/>
      <w:b/>
      <w:bCs/>
      <w:sz w:val="24"/>
      <w:szCs w:val="24"/>
      <w:bdr w:val="none" w:sz="0" w:space="0" w:color="auto"/>
    </w:rPr>
  </w:style>
  <w:style w:type="character" w:styleId="Strong">
    <w:name w:val="Strong"/>
    <w:basedOn w:val="DefaultParagraphFont"/>
    <w:uiPriority w:val="22"/>
    <w:qFormat/>
    <w:rsid w:val="00653CAF"/>
    <w:rPr>
      <w:b/>
      <w:bCs/>
    </w:rPr>
  </w:style>
  <w:style w:type="paragraph" w:customStyle="1" w:styleId="paragraph">
    <w:name w:val="paragraph"/>
    <w:basedOn w:val="Normal"/>
    <w:rsid w:val="005201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5201B8"/>
  </w:style>
  <w:style w:type="character" w:customStyle="1" w:styleId="eop">
    <w:name w:val="eop"/>
    <w:basedOn w:val="DefaultParagraphFont"/>
    <w:rsid w:val="005201B8"/>
  </w:style>
  <w:style w:type="paragraph" w:styleId="Revision">
    <w:name w:val="Revision"/>
    <w:hidden/>
    <w:uiPriority w:val="99"/>
    <w:semiHidden/>
    <w:rsid w:val="007C398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BodyText">
    <w:name w:val="Body Text"/>
    <w:basedOn w:val="Normal"/>
    <w:link w:val="BodyTextChar"/>
    <w:uiPriority w:val="1"/>
    <w:qFormat/>
    <w:rsid w:val="00767DC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bdr w:val="none" w:sz="0" w:space="0" w:color="auto"/>
    </w:rPr>
  </w:style>
  <w:style w:type="character" w:customStyle="1" w:styleId="BodyTextChar">
    <w:name w:val="Body Text Char"/>
    <w:basedOn w:val="DefaultParagraphFont"/>
    <w:link w:val="BodyText"/>
    <w:uiPriority w:val="1"/>
    <w:rsid w:val="00767DCF"/>
    <w:rPr>
      <w:rFonts w:eastAsia="Times New Roman"/>
      <w:sz w:val="24"/>
      <w:szCs w:val="24"/>
      <w:bdr w:val="none" w:sz="0" w:space="0" w:color="auto"/>
    </w:rPr>
  </w:style>
  <w:style w:type="character" w:styleId="UnresolvedMention">
    <w:name w:val="Unresolved Mention"/>
    <w:basedOn w:val="DefaultParagraphFont"/>
    <w:uiPriority w:val="99"/>
    <w:rsid w:val="00332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7023">
      <w:bodyDiv w:val="1"/>
      <w:marLeft w:val="0"/>
      <w:marRight w:val="0"/>
      <w:marTop w:val="0"/>
      <w:marBottom w:val="0"/>
      <w:divBdr>
        <w:top w:val="none" w:sz="0" w:space="0" w:color="auto"/>
        <w:left w:val="none" w:sz="0" w:space="0" w:color="auto"/>
        <w:bottom w:val="none" w:sz="0" w:space="0" w:color="auto"/>
        <w:right w:val="none" w:sz="0" w:space="0" w:color="auto"/>
      </w:divBdr>
      <w:divsChild>
        <w:div w:id="1426341298">
          <w:marLeft w:val="0"/>
          <w:marRight w:val="0"/>
          <w:marTop w:val="0"/>
          <w:marBottom w:val="0"/>
          <w:divBdr>
            <w:top w:val="none" w:sz="0" w:space="0" w:color="auto"/>
            <w:left w:val="none" w:sz="0" w:space="0" w:color="auto"/>
            <w:bottom w:val="none" w:sz="0" w:space="0" w:color="auto"/>
            <w:right w:val="none" w:sz="0" w:space="0" w:color="auto"/>
          </w:divBdr>
        </w:div>
        <w:div w:id="1948463963">
          <w:marLeft w:val="0"/>
          <w:marRight w:val="0"/>
          <w:marTop w:val="0"/>
          <w:marBottom w:val="0"/>
          <w:divBdr>
            <w:top w:val="none" w:sz="0" w:space="0" w:color="auto"/>
            <w:left w:val="none" w:sz="0" w:space="0" w:color="auto"/>
            <w:bottom w:val="none" w:sz="0" w:space="0" w:color="auto"/>
            <w:right w:val="none" w:sz="0" w:space="0" w:color="auto"/>
          </w:divBdr>
        </w:div>
        <w:div w:id="820969709">
          <w:marLeft w:val="0"/>
          <w:marRight w:val="0"/>
          <w:marTop w:val="0"/>
          <w:marBottom w:val="0"/>
          <w:divBdr>
            <w:top w:val="none" w:sz="0" w:space="0" w:color="auto"/>
            <w:left w:val="none" w:sz="0" w:space="0" w:color="auto"/>
            <w:bottom w:val="none" w:sz="0" w:space="0" w:color="auto"/>
            <w:right w:val="none" w:sz="0" w:space="0" w:color="auto"/>
          </w:divBdr>
        </w:div>
      </w:divsChild>
    </w:div>
    <w:div w:id="71657331">
      <w:bodyDiv w:val="1"/>
      <w:marLeft w:val="0"/>
      <w:marRight w:val="0"/>
      <w:marTop w:val="0"/>
      <w:marBottom w:val="0"/>
      <w:divBdr>
        <w:top w:val="none" w:sz="0" w:space="0" w:color="auto"/>
        <w:left w:val="none" w:sz="0" w:space="0" w:color="auto"/>
        <w:bottom w:val="none" w:sz="0" w:space="0" w:color="auto"/>
        <w:right w:val="none" w:sz="0" w:space="0" w:color="auto"/>
      </w:divBdr>
    </w:div>
    <w:div w:id="133648716">
      <w:bodyDiv w:val="1"/>
      <w:marLeft w:val="0"/>
      <w:marRight w:val="0"/>
      <w:marTop w:val="0"/>
      <w:marBottom w:val="0"/>
      <w:divBdr>
        <w:top w:val="none" w:sz="0" w:space="0" w:color="auto"/>
        <w:left w:val="none" w:sz="0" w:space="0" w:color="auto"/>
        <w:bottom w:val="none" w:sz="0" w:space="0" w:color="auto"/>
        <w:right w:val="none" w:sz="0" w:space="0" w:color="auto"/>
      </w:divBdr>
      <w:divsChild>
        <w:div w:id="2141724025">
          <w:marLeft w:val="0"/>
          <w:marRight w:val="0"/>
          <w:marTop w:val="0"/>
          <w:marBottom w:val="0"/>
          <w:divBdr>
            <w:top w:val="none" w:sz="0" w:space="0" w:color="auto"/>
            <w:left w:val="none" w:sz="0" w:space="0" w:color="auto"/>
            <w:bottom w:val="none" w:sz="0" w:space="0" w:color="auto"/>
            <w:right w:val="none" w:sz="0" w:space="0" w:color="auto"/>
          </w:divBdr>
        </w:div>
        <w:div w:id="1097673124">
          <w:marLeft w:val="0"/>
          <w:marRight w:val="0"/>
          <w:marTop w:val="0"/>
          <w:marBottom w:val="0"/>
          <w:divBdr>
            <w:top w:val="none" w:sz="0" w:space="0" w:color="auto"/>
            <w:left w:val="none" w:sz="0" w:space="0" w:color="auto"/>
            <w:bottom w:val="none" w:sz="0" w:space="0" w:color="auto"/>
            <w:right w:val="none" w:sz="0" w:space="0" w:color="auto"/>
          </w:divBdr>
        </w:div>
      </w:divsChild>
    </w:div>
    <w:div w:id="548079145">
      <w:bodyDiv w:val="1"/>
      <w:marLeft w:val="0"/>
      <w:marRight w:val="0"/>
      <w:marTop w:val="0"/>
      <w:marBottom w:val="0"/>
      <w:divBdr>
        <w:top w:val="none" w:sz="0" w:space="0" w:color="auto"/>
        <w:left w:val="none" w:sz="0" w:space="0" w:color="auto"/>
        <w:bottom w:val="none" w:sz="0" w:space="0" w:color="auto"/>
        <w:right w:val="none" w:sz="0" w:space="0" w:color="auto"/>
      </w:divBdr>
    </w:div>
    <w:div w:id="871461168">
      <w:bodyDiv w:val="1"/>
      <w:marLeft w:val="0"/>
      <w:marRight w:val="0"/>
      <w:marTop w:val="0"/>
      <w:marBottom w:val="0"/>
      <w:divBdr>
        <w:top w:val="none" w:sz="0" w:space="0" w:color="auto"/>
        <w:left w:val="none" w:sz="0" w:space="0" w:color="auto"/>
        <w:bottom w:val="none" w:sz="0" w:space="0" w:color="auto"/>
        <w:right w:val="none" w:sz="0" w:space="0" w:color="auto"/>
      </w:divBdr>
    </w:div>
    <w:div w:id="1398089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epnet.org/~/media/Files/caep/accreditation-resources/caep-appeals-policy-with-amendments-effe.pdf?la=en" TargetMode="External"/><Relationship Id="rId18" Type="http://schemas.openxmlformats.org/officeDocument/2006/relationships/hyperlink" Target="https://caepnet.org/~/media/Files/caep/accreditation-resources/accreditation-policy-final.pdf?la=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caepnet.org/~/media/Files/caep/accreditation-resources/accreditation-policy-final.pdf?la=en" TargetMode="External"/><Relationship Id="rId17" Type="http://schemas.openxmlformats.org/officeDocument/2006/relationships/hyperlink" Target="https://caepnet.org/~/media/Files/caep/accreditation-resources/accreditation-policy-final.pdf?la=e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caepnet.org/~/media/Files/caep/accreditation-resources/accreditation-policy-final.pdf?la=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epnet.org/standards/2022-itp/introduction"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caepnet.org/~/media/Files/caep/accreditation-resources/accreditation-policy-final.pdf?la=e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caepnet.org/~/media/Files/caep/accreditation-resources/accreditation-policy-final.pdf?la=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epnet.org/"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A30D1D36739439ADA380905216E8C" ma:contentTypeVersion="16" ma:contentTypeDescription="Create a new document." ma:contentTypeScope="" ma:versionID="4ae8aa565e496251a1072c653f56e36c">
  <xsd:schema xmlns:xsd="http://www.w3.org/2001/XMLSchema" xmlns:xs="http://www.w3.org/2001/XMLSchema" xmlns:p="http://schemas.microsoft.com/office/2006/metadata/properties" xmlns:ns2="793a17ed-fb30-4e6d-bf88-96432c11d168" xmlns:ns3="7e3f04e7-2c34-4316-ac1f-cb308b68b226" targetNamespace="http://schemas.microsoft.com/office/2006/metadata/properties" ma:root="true" ma:fieldsID="bea0d34c6072f7b3a587c58606150426" ns2:_="" ns3:_="">
    <xsd:import namespace="793a17ed-fb30-4e6d-bf88-96432c11d168"/>
    <xsd:import namespace="7e3f04e7-2c34-4316-ac1f-cb308b68b2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a17ed-fb30-4e6d-bf88-96432c11d1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e0d97556-e44e-496c-a7d0-8d13f0bc1365}" ma:internalName="TaxCatchAll" ma:showField="CatchAllData" ma:web="793a17ed-fb30-4e6d-bf88-96432c11d1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3f04e7-2c34-4316-ac1f-cb308b68b22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ebde76-b30d-4806-8e44-4e73095a0b3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93a17ed-fb30-4e6d-bf88-96432c11d168" xsi:nil="true"/>
    <lcf76f155ced4ddcb4097134ff3c332f xmlns="7e3f04e7-2c34-4316-ac1f-cb308b68b22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DB408C-0629-44B6-BC5D-D9FCE87D1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a17ed-fb30-4e6d-bf88-96432c11d168"/>
    <ds:schemaRef ds:uri="7e3f04e7-2c34-4316-ac1f-cb308b68b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15067-9527-485C-A9C8-71A2F544FAA9}">
  <ds:schemaRefs>
    <ds:schemaRef ds:uri="http://schemas.openxmlformats.org/officeDocument/2006/bibliography"/>
  </ds:schemaRefs>
</ds:datastoreItem>
</file>

<file path=customXml/itemProps3.xml><?xml version="1.0" encoding="utf-8"?>
<ds:datastoreItem xmlns:ds="http://schemas.openxmlformats.org/officeDocument/2006/customXml" ds:itemID="{488271F4-484D-4EDF-A661-76A4DEA3F0C2}">
  <ds:schemaRefs>
    <ds:schemaRef ds:uri="http://schemas.microsoft.com/office/2006/metadata/properties"/>
    <ds:schemaRef ds:uri="793a17ed-fb30-4e6d-bf88-96432c11d168"/>
    <ds:schemaRef ds:uri="http://purl.org/dc/terms/"/>
    <ds:schemaRef ds:uri="7e3f04e7-2c34-4316-ac1f-cb308b68b226"/>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4AF154B-DC8E-4521-A0DF-EE0424108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4317</Words>
  <Characters>24611</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Starzynski</dc:creator>
  <cp:lastModifiedBy>Matt Vanover</cp:lastModifiedBy>
  <cp:revision>2</cp:revision>
  <dcterms:created xsi:type="dcterms:W3CDTF">2023-06-02T15:40:00Z</dcterms:created>
  <dcterms:modified xsi:type="dcterms:W3CDTF">2023-06-02T15:40:00Z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0x0101003E8A30D1D36739439ADA380905216E8C</vt:lpwstr>
  </property>
  <property fmtid="{D5CDD505-2E9C-101B-9397-08002B2CF9AE}" pid="3" name="AuthorIds_UIVersion_4096">
    <vt:lpwstr>164</vt:lpwstr>
  </property>
  <property fmtid="{D5CDD505-2E9C-101B-9397-08002B2CF9AE}" pid="4" name="MediaServiceImageTags">
    <vt:lpwstr/>
  </property>
</Properties>
</file>